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Style w:val="5"/>
          <w:rFonts w:hint="eastAsia" w:ascii="黑体" w:hAnsi="黑体" w:eastAsia="黑体" w:cs="黑体"/>
          <w:b w:val="0"/>
          <w:bCs/>
          <w:color w:val="auto"/>
          <w:sz w:val="32"/>
          <w:szCs w:val="32"/>
          <w:u w:val="none"/>
          <w:lang w:val="en-US" w:eastAsia="zh-CN"/>
        </w:rPr>
      </w:pPr>
      <w:r>
        <w:rPr>
          <w:rStyle w:val="5"/>
          <w:rFonts w:hint="eastAsia" w:ascii="黑体" w:hAnsi="黑体" w:eastAsia="黑体" w:cs="黑体"/>
          <w:b w:val="0"/>
          <w:bCs/>
          <w:color w:val="auto"/>
          <w:sz w:val="32"/>
          <w:szCs w:val="32"/>
          <w:u w:val="none"/>
          <w:lang w:val="en-US" w:eastAsia="zh-CN"/>
        </w:rPr>
        <w:t>附件2</w:t>
      </w:r>
    </w:p>
    <w:p>
      <w:pPr>
        <w:spacing w:line="600" w:lineRule="exact"/>
        <w:jc w:val="both"/>
        <w:rPr>
          <w:rStyle w:val="5"/>
          <w:rFonts w:hint="eastAsia" w:ascii="黑体" w:hAnsi="黑体" w:eastAsia="黑体" w:cs="黑体"/>
          <w:b w:val="0"/>
          <w:bCs/>
          <w:color w:val="auto"/>
          <w:sz w:val="32"/>
          <w:szCs w:val="32"/>
          <w:u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u w:val="none"/>
        </w:rPr>
      </w:pPr>
      <w:r>
        <w:rPr>
          <w:rFonts w:hint="eastAsia" w:ascii="方正小标宋简体" w:hAnsi="方正小标宋简体" w:eastAsia="方正小标宋简体" w:cs="方正小标宋简体"/>
          <w:color w:val="auto"/>
          <w:sz w:val="44"/>
          <w:szCs w:val="44"/>
          <w:u w:val="none"/>
        </w:rPr>
        <w:t>云南省二级造价工程师职业资格考试</w:t>
      </w:r>
    </w:p>
    <w:p>
      <w:pPr>
        <w:keepNext w:val="0"/>
        <w:keepLines w:val="0"/>
        <w:pageBreakBefore w:val="0"/>
        <w:widowControl w:val="0"/>
        <w:kinsoku/>
        <w:wordWrap w:val="0"/>
        <w:overflowPunct/>
        <w:topLinePunct w:val="0"/>
        <w:autoSpaceDE/>
        <w:autoSpaceDN/>
        <w:bidi w:val="0"/>
        <w:adjustRightInd w:val="0"/>
        <w:snapToGrid w:val="0"/>
        <w:spacing w:line="240" w:lineRule="auto"/>
        <w:ind w:right="0" w:rightChars="0"/>
        <w:jc w:val="center"/>
        <w:textAlignment w:val="auto"/>
        <w:outlineLvl w:val="9"/>
        <w:rPr>
          <w:rFonts w:hint="eastAsia" w:ascii="方正小标宋简体" w:hAnsi="方正小标宋简体" w:eastAsia="方正小标宋简体" w:cs="方正小标宋简体"/>
          <w:color w:val="auto"/>
          <w:sz w:val="44"/>
          <w:szCs w:val="44"/>
          <w:u w:val="none"/>
          <w:lang w:val="en-US" w:eastAsia="zh-CN"/>
        </w:rPr>
      </w:pPr>
      <w:r>
        <w:rPr>
          <w:rFonts w:hint="eastAsia" w:ascii="方正小标宋简体" w:hAnsi="方正小标宋简体" w:eastAsia="方正小标宋简体" w:cs="方正小标宋简体"/>
          <w:color w:val="auto"/>
          <w:sz w:val="44"/>
          <w:szCs w:val="44"/>
          <w:u w:val="none"/>
        </w:rPr>
        <w:t>实施</w:t>
      </w:r>
      <w:r>
        <w:rPr>
          <w:rFonts w:hint="eastAsia" w:ascii="方正小标宋简体" w:hAnsi="方正小标宋简体" w:eastAsia="方正小标宋简体" w:cs="方正小标宋简体"/>
          <w:color w:val="auto"/>
          <w:sz w:val="44"/>
          <w:szCs w:val="44"/>
          <w:u w:val="none"/>
          <w:lang w:val="en-US" w:eastAsia="zh-CN"/>
        </w:rPr>
        <w:t>细则</w:t>
      </w:r>
    </w:p>
    <w:p>
      <w:pPr>
        <w:wordWrap w:val="0"/>
        <w:spacing w:before="181" w:beforeLines="50" w:after="181" w:afterLines="50" w:line="600" w:lineRule="exact"/>
        <w:jc w:val="center"/>
        <w:rPr>
          <w:rFonts w:hint="eastAsia" w:ascii="黑体" w:hAnsi="黑体" w:eastAsia="黑体" w:cs="黑体"/>
          <w:b w:val="0"/>
          <w:bCs w:val="0"/>
          <w:color w:val="auto"/>
          <w:sz w:val="32"/>
          <w:szCs w:val="32"/>
          <w:u w:val="none"/>
        </w:rPr>
      </w:pPr>
      <w:r>
        <w:rPr>
          <w:rFonts w:hint="eastAsia" w:ascii="黑体" w:hAnsi="黑体" w:eastAsia="黑体" w:cs="黑体"/>
          <w:b w:val="0"/>
          <w:bCs w:val="0"/>
          <w:color w:val="auto"/>
          <w:sz w:val="32"/>
          <w:szCs w:val="32"/>
          <w:u w:val="none"/>
        </w:rPr>
        <w:t>第一章 总则</w:t>
      </w:r>
    </w:p>
    <w:p>
      <w:pPr>
        <w:pStyle w:val="6"/>
        <w:spacing w:line="600" w:lineRule="exact"/>
        <w:ind w:firstLine="640"/>
        <w:rPr>
          <w:rFonts w:ascii="仿宋" w:hAnsi="仿宋" w:eastAsia="仿宋" w:cs="仿宋"/>
          <w:color w:val="auto"/>
          <w:sz w:val="32"/>
          <w:szCs w:val="32"/>
          <w:u w:val="none"/>
        </w:rPr>
      </w:pPr>
      <w:r>
        <w:rPr>
          <w:rFonts w:hint="eastAsia" w:ascii="黑体" w:hAnsi="黑体" w:eastAsia="黑体" w:cs="黑体"/>
          <w:b w:val="0"/>
          <w:bCs w:val="0"/>
          <w:color w:val="000000"/>
          <w:sz w:val="32"/>
          <w:szCs w:val="32"/>
          <w:u w:val="none"/>
          <w:lang w:val="en-US" w:eastAsia="zh-CN" w:bidi="ar-SA"/>
        </w:rPr>
        <w:t>第一条</w:t>
      </w:r>
      <w:r>
        <w:rPr>
          <w:rFonts w:hint="eastAsia" w:ascii="仿宋" w:hAnsi="仿宋" w:eastAsia="仿宋" w:cs="仿宋"/>
          <w:color w:val="auto"/>
          <w:sz w:val="32"/>
          <w:szCs w:val="32"/>
          <w:u w:val="none"/>
        </w:rPr>
        <w:t xml:space="preserve">  </w:t>
      </w:r>
      <w:r>
        <w:rPr>
          <w:rFonts w:hint="eastAsia" w:ascii="仿宋_GB2312" w:hAnsi="仿宋_GB2312" w:eastAsia="仿宋_GB2312" w:cs="仿宋_GB2312"/>
          <w:color w:val="auto"/>
          <w:sz w:val="32"/>
          <w:szCs w:val="32"/>
          <w:u w:val="none"/>
          <w:lang w:val="en-US" w:eastAsia="zh-CN" w:bidi="ar-SA"/>
        </w:rPr>
        <w:t>为规范二级造价工程师（以下简称“二级造价师”）的考试管理，维护社会公共利益，根据住房城乡建设部、交通运输部、水利部、人力资源社会保障部印发的《造价工程师职业资格考试实施办法》，结合云南实际，制定本细则。</w:t>
      </w:r>
    </w:p>
    <w:p>
      <w:pPr>
        <w:pStyle w:val="6"/>
        <w:spacing w:line="600" w:lineRule="exact"/>
        <w:ind w:firstLine="640"/>
        <w:rPr>
          <w:rFonts w:ascii="仿宋" w:hAnsi="仿宋" w:eastAsia="仿宋" w:cs="仿宋"/>
          <w:color w:val="auto"/>
          <w:sz w:val="32"/>
          <w:szCs w:val="32"/>
          <w:u w:val="none"/>
        </w:rPr>
      </w:pPr>
      <w:r>
        <w:rPr>
          <w:rFonts w:hint="eastAsia" w:ascii="黑体" w:hAnsi="黑体" w:eastAsia="黑体" w:cs="黑体"/>
          <w:b w:val="0"/>
          <w:bCs w:val="0"/>
          <w:color w:val="000000"/>
          <w:sz w:val="32"/>
          <w:szCs w:val="32"/>
          <w:u w:val="none"/>
          <w:lang w:val="en-US" w:eastAsia="zh-CN" w:bidi="ar-SA"/>
        </w:rPr>
        <w:t>第二条</w:t>
      </w:r>
      <w:r>
        <w:rPr>
          <w:rFonts w:hint="eastAsia" w:ascii="仿宋" w:hAnsi="仿宋" w:eastAsia="仿宋" w:cs="仿宋"/>
          <w:color w:val="auto"/>
          <w:sz w:val="32"/>
          <w:szCs w:val="32"/>
          <w:u w:val="none"/>
        </w:rPr>
        <w:t xml:space="preserve">  </w:t>
      </w:r>
      <w:r>
        <w:rPr>
          <w:rFonts w:hint="eastAsia" w:ascii="仿宋_GB2312" w:hAnsi="仿宋_GB2312" w:eastAsia="仿宋_GB2312" w:cs="仿宋_GB2312"/>
          <w:color w:val="auto"/>
          <w:sz w:val="32"/>
          <w:szCs w:val="32"/>
          <w:u w:val="none"/>
          <w:lang w:val="en-US" w:eastAsia="zh-CN" w:bidi="ar-SA"/>
        </w:rPr>
        <w:t>云南省二级造价师职业资格考试考务等相关管理工作，适用本细则。</w:t>
      </w:r>
    </w:p>
    <w:p>
      <w:pPr>
        <w:pStyle w:val="7"/>
        <w:spacing w:line="600" w:lineRule="exact"/>
        <w:ind w:firstLine="640"/>
        <w:rPr>
          <w:rFonts w:ascii="仿宋" w:hAnsi="仿宋" w:eastAsia="仿宋" w:cs="仿宋"/>
          <w:color w:val="auto"/>
          <w:sz w:val="32"/>
          <w:szCs w:val="32"/>
          <w:u w:val="none"/>
        </w:rPr>
      </w:pPr>
      <w:r>
        <w:rPr>
          <w:rFonts w:hint="eastAsia" w:ascii="黑体" w:hAnsi="黑体" w:eastAsia="黑体" w:cs="黑体"/>
          <w:b w:val="0"/>
          <w:bCs w:val="0"/>
          <w:color w:val="000000"/>
          <w:kern w:val="2"/>
          <w:sz w:val="32"/>
          <w:szCs w:val="32"/>
          <w:u w:val="none"/>
          <w:lang w:val="en-US" w:eastAsia="zh-CN" w:bidi="ar-SA"/>
        </w:rPr>
        <w:t>第三条</w:t>
      </w:r>
      <w:r>
        <w:rPr>
          <w:rFonts w:hint="eastAsia" w:ascii="仿宋" w:hAnsi="仿宋" w:eastAsia="仿宋" w:cs="仿宋"/>
          <w:color w:val="auto"/>
          <w:sz w:val="32"/>
          <w:szCs w:val="32"/>
          <w:u w:val="none"/>
        </w:rPr>
        <w:t xml:space="preserve">  </w:t>
      </w:r>
      <w:r>
        <w:rPr>
          <w:rFonts w:hint="eastAsia" w:ascii="仿宋_GB2312" w:hAnsi="仿宋_GB2312" w:eastAsia="仿宋_GB2312" w:cs="仿宋_GB2312"/>
          <w:color w:val="auto"/>
          <w:sz w:val="32"/>
          <w:szCs w:val="32"/>
          <w:u w:val="none"/>
          <w:lang w:val="en-US" w:eastAsia="zh-CN" w:bidi="ar-SA"/>
        </w:rPr>
        <w:t>二级造价师基础考试教材全省统一使用《建设工程造价管理基础知识》，专业科目考试使用由省住房城乡建设厅、省交通运输厅、省水利厅会同省人力资源社会保障厅编制审定通过的教材。</w:t>
      </w:r>
    </w:p>
    <w:p>
      <w:pPr>
        <w:pStyle w:val="7"/>
        <w:spacing w:line="600" w:lineRule="exact"/>
        <w:ind w:firstLine="640"/>
        <w:rPr>
          <w:rFonts w:hint="eastAsia" w:ascii="仿宋_GB2312" w:hAnsi="仿宋_GB2312" w:eastAsia="仿宋_GB2312" w:cs="仿宋_GB2312"/>
          <w:color w:val="auto"/>
          <w:sz w:val="32"/>
          <w:szCs w:val="32"/>
          <w:u w:val="none"/>
          <w:lang w:val="en-US" w:eastAsia="zh-CN" w:bidi="ar-SA"/>
        </w:rPr>
      </w:pPr>
      <w:r>
        <w:rPr>
          <w:rFonts w:hint="eastAsia" w:ascii="黑体" w:hAnsi="黑体" w:eastAsia="黑体" w:cs="黑体"/>
          <w:b w:val="0"/>
          <w:bCs w:val="0"/>
          <w:color w:val="000000"/>
          <w:kern w:val="2"/>
          <w:sz w:val="32"/>
          <w:szCs w:val="32"/>
          <w:u w:val="none"/>
          <w:lang w:val="en-US" w:eastAsia="zh-CN" w:bidi="ar-SA"/>
        </w:rPr>
        <w:t>第四条</w:t>
      </w:r>
      <w:r>
        <w:rPr>
          <w:rFonts w:hint="eastAsia" w:ascii="仿宋" w:hAnsi="仿宋" w:eastAsia="仿宋" w:cs="仿宋"/>
          <w:color w:val="auto"/>
          <w:sz w:val="32"/>
          <w:szCs w:val="32"/>
          <w:u w:val="none"/>
        </w:rPr>
        <w:t xml:space="preserve">  </w:t>
      </w:r>
      <w:r>
        <w:rPr>
          <w:rFonts w:hint="eastAsia" w:ascii="仿宋_GB2312" w:hAnsi="仿宋_GB2312" w:eastAsia="仿宋_GB2312" w:cs="仿宋_GB2312"/>
          <w:color w:val="auto"/>
          <w:sz w:val="32"/>
          <w:szCs w:val="32"/>
          <w:u w:val="none"/>
          <w:lang w:val="en-US" w:eastAsia="zh-CN" w:bidi="ar-SA"/>
        </w:rPr>
        <w:t>按照《全国二级造价工程师职业资格考试大纲》（以下简称“全国统一大纲”），由省住房城乡建设厅统一负责云南省行政区域内二级造价师基础科目和专业科目考试考务等相关工作。省交通运输厅、省水利厅指派专人负责提供专业科目考试题库，并配合省住房城乡建设厅完成本专业类考试。</w:t>
      </w:r>
    </w:p>
    <w:p>
      <w:pPr>
        <w:spacing w:line="600" w:lineRule="exact"/>
        <w:ind w:firstLine="645"/>
        <w:jc w:val="left"/>
        <w:rPr>
          <w:rFonts w:hint="eastAsia" w:ascii="仿宋_GB2312" w:hAnsi="仿宋_GB2312" w:eastAsia="仿宋_GB2312" w:cs="仿宋_GB2312"/>
          <w:color w:val="auto"/>
          <w:sz w:val="32"/>
          <w:szCs w:val="32"/>
          <w:u w:val="none"/>
          <w:lang w:val="en-US" w:eastAsia="zh-CN" w:bidi="ar-SA"/>
        </w:rPr>
      </w:pPr>
      <w:r>
        <w:rPr>
          <w:rFonts w:hint="eastAsia" w:ascii="仿宋_GB2312" w:hAnsi="仿宋_GB2312" w:eastAsia="仿宋_GB2312" w:cs="仿宋_GB2312"/>
          <w:color w:val="auto"/>
          <w:sz w:val="32"/>
          <w:szCs w:val="32"/>
          <w:u w:val="none"/>
          <w:lang w:val="en-US" w:eastAsia="zh-CN" w:bidi="ar-SA"/>
        </w:rPr>
        <w:t>省人力资源社会保障厅对考试考务、考试结果公布、职业资格证书颁发等工作进行全程监督、指导和检查。</w:t>
      </w:r>
    </w:p>
    <w:p>
      <w:pPr>
        <w:spacing w:line="600" w:lineRule="exact"/>
        <w:ind w:firstLine="640" w:firstLineChars="200"/>
        <w:rPr>
          <w:rFonts w:hint="eastAsia" w:ascii="仿宋_GB2312" w:hAnsi="仿宋_GB2312" w:eastAsia="仿宋_GB2312" w:cs="仿宋_GB2312"/>
          <w:color w:val="auto"/>
          <w:sz w:val="32"/>
          <w:szCs w:val="32"/>
          <w:u w:val="none"/>
        </w:rPr>
      </w:pPr>
      <w:r>
        <w:rPr>
          <w:rFonts w:hint="eastAsia" w:ascii="黑体" w:hAnsi="黑体" w:eastAsia="黑体" w:cs="黑体"/>
          <w:b w:val="0"/>
          <w:bCs w:val="0"/>
          <w:color w:val="000000"/>
          <w:kern w:val="2"/>
          <w:sz w:val="32"/>
          <w:szCs w:val="32"/>
          <w:u w:val="none"/>
          <w:lang w:val="en-US" w:eastAsia="zh-CN" w:bidi="ar-SA"/>
        </w:rPr>
        <w:t>第五条</w:t>
      </w:r>
      <w:r>
        <w:rPr>
          <w:rFonts w:hint="eastAsia" w:ascii="仿宋" w:hAnsi="仿宋" w:eastAsia="仿宋" w:cs="仿宋"/>
          <w:color w:val="auto"/>
          <w:sz w:val="32"/>
          <w:szCs w:val="32"/>
          <w:u w:val="none"/>
        </w:rPr>
        <w:t xml:space="preserve">  </w:t>
      </w:r>
      <w:r>
        <w:rPr>
          <w:rFonts w:hint="eastAsia" w:ascii="仿宋_GB2312" w:hAnsi="仿宋_GB2312" w:eastAsia="仿宋_GB2312" w:cs="仿宋_GB2312"/>
          <w:color w:val="auto"/>
          <w:sz w:val="32"/>
          <w:szCs w:val="32"/>
          <w:u w:val="none"/>
        </w:rPr>
        <w:t>二级造价师职业资格考试原则上每年不少于一次，考试时间由</w:t>
      </w:r>
      <w:r>
        <w:rPr>
          <w:rFonts w:hint="eastAsia" w:ascii="仿宋_GB2312" w:hAnsi="仿宋_GB2312" w:eastAsia="仿宋_GB2312" w:cs="仿宋_GB2312"/>
          <w:color w:val="auto"/>
          <w:sz w:val="32"/>
          <w:szCs w:val="32"/>
          <w:u w:val="none"/>
          <w:lang w:eastAsia="zh-CN"/>
        </w:rPr>
        <w:t>考试承办单位向社会发布</w:t>
      </w:r>
      <w:r>
        <w:rPr>
          <w:rFonts w:hint="eastAsia" w:ascii="仿宋_GB2312" w:hAnsi="仿宋_GB2312" w:eastAsia="仿宋_GB2312" w:cs="仿宋_GB2312"/>
          <w:color w:val="auto"/>
          <w:sz w:val="32"/>
          <w:szCs w:val="32"/>
          <w:u w:val="none"/>
        </w:rPr>
        <w:t>。</w:t>
      </w:r>
    </w:p>
    <w:p>
      <w:pPr>
        <w:spacing w:line="60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考试地点设在具备考试条件的大、中专院校或能满足计算机考试的指定场地。</w:t>
      </w:r>
    </w:p>
    <w:p>
      <w:pPr>
        <w:wordWrap w:val="0"/>
        <w:spacing w:before="181" w:beforeLines="50" w:after="181" w:afterLines="50" w:line="600" w:lineRule="exact"/>
        <w:jc w:val="center"/>
        <w:rPr>
          <w:rFonts w:hint="eastAsia" w:ascii="黑体" w:hAnsi="黑体" w:eastAsia="黑体" w:cs="黑体"/>
          <w:b w:val="0"/>
          <w:bCs w:val="0"/>
          <w:color w:val="auto"/>
          <w:sz w:val="32"/>
          <w:szCs w:val="32"/>
          <w:u w:val="none"/>
        </w:rPr>
      </w:pPr>
      <w:r>
        <w:rPr>
          <w:rFonts w:hint="eastAsia" w:ascii="黑体" w:hAnsi="黑体" w:eastAsia="黑体" w:cs="黑体"/>
          <w:b w:val="0"/>
          <w:bCs w:val="0"/>
          <w:color w:val="auto"/>
          <w:sz w:val="32"/>
          <w:szCs w:val="32"/>
          <w:u w:val="none"/>
        </w:rPr>
        <w:t>第二章 报名考试</w:t>
      </w:r>
    </w:p>
    <w:p>
      <w:pPr>
        <w:spacing w:line="600" w:lineRule="exact"/>
        <w:ind w:firstLine="640" w:firstLineChars="200"/>
        <w:rPr>
          <w:rFonts w:hint="eastAsia" w:ascii="仿宋_GB2312" w:hAnsi="仿宋_GB2312" w:eastAsia="仿宋_GB2312" w:cs="仿宋_GB2312"/>
          <w:color w:val="auto"/>
          <w:sz w:val="32"/>
          <w:szCs w:val="32"/>
          <w:u w:val="none"/>
          <w:lang w:eastAsia="zh-CN"/>
        </w:rPr>
      </w:pPr>
      <w:r>
        <w:rPr>
          <w:rFonts w:hint="eastAsia" w:ascii="黑体" w:hAnsi="黑体" w:eastAsia="黑体" w:cs="黑体"/>
          <w:b w:val="0"/>
          <w:bCs w:val="0"/>
          <w:color w:val="000000"/>
          <w:kern w:val="2"/>
          <w:sz w:val="32"/>
          <w:szCs w:val="32"/>
          <w:u w:val="none"/>
          <w:lang w:val="en-US" w:eastAsia="zh-CN" w:bidi="ar-SA"/>
        </w:rPr>
        <w:t>第六条</w:t>
      </w:r>
      <w:r>
        <w:rPr>
          <w:rFonts w:hint="eastAsia" w:ascii="仿宋" w:hAnsi="仿宋" w:eastAsia="仿宋" w:cs="仿宋"/>
          <w:color w:val="auto"/>
          <w:sz w:val="32"/>
          <w:szCs w:val="32"/>
          <w:u w:val="none"/>
        </w:rPr>
        <w:t xml:space="preserve">  </w:t>
      </w:r>
      <w:r>
        <w:rPr>
          <w:rFonts w:hint="eastAsia" w:ascii="仿宋_GB2312" w:hAnsi="仿宋_GB2312" w:eastAsia="仿宋_GB2312" w:cs="仿宋_GB2312"/>
          <w:color w:val="auto"/>
          <w:sz w:val="32"/>
          <w:szCs w:val="32"/>
          <w:u w:val="none"/>
        </w:rPr>
        <w:t>二级造价师考试设《建设工程造价管理基础知识》、《建设工程计量与计价实务》2个科目，其中</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《建设工程造价管理基础知识》为基础科目，考试时间为2.5个小时</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《建设工程计量与计价实务》为专业科目，考试时间为</w:t>
      </w:r>
      <w:r>
        <w:rPr>
          <w:rFonts w:hint="eastAsia" w:ascii="仿宋_GB2312" w:hAnsi="仿宋_GB2312" w:eastAsia="仿宋_GB2312" w:cs="仿宋_GB2312"/>
          <w:color w:val="auto"/>
          <w:sz w:val="32"/>
          <w:szCs w:val="32"/>
          <w:u w:val="none"/>
          <w:lang w:val="en-US" w:eastAsia="zh-CN"/>
        </w:rPr>
        <w:t>3</w:t>
      </w:r>
      <w:r>
        <w:rPr>
          <w:rFonts w:hint="eastAsia" w:ascii="仿宋_GB2312" w:hAnsi="仿宋_GB2312" w:eastAsia="仿宋_GB2312" w:cs="仿宋_GB2312"/>
          <w:color w:val="auto"/>
          <w:sz w:val="32"/>
          <w:szCs w:val="32"/>
          <w:u w:val="none"/>
        </w:rPr>
        <w:t>个小时</w:t>
      </w:r>
      <w:r>
        <w:rPr>
          <w:rFonts w:hint="eastAsia" w:ascii="仿宋_GB2312" w:hAnsi="仿宋_GB2312" w:eastAsia="仿宋_GB2312" w:cs="仿宋_GB2312"/>
          <w:color w:val="auto"/>
          <w:sz w:val="32"/>
          <w:szCs w:val="32"/>
          <w:u w:val="none"/>
          <w:lang w:eastAsia="zh-CN"/>
        </w:rPr>
        <w:t>。</w:t>
      </w:r>
    </w:p>
    <w:p>
      <w:pPr>
        <w:spacing w:line="60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专业科目分为土木建筑工程、安装工程、交通运输工程、水利工程。</w:t>
      </w:r>
      <w:r>
        <w:rPr>
          <w:rFonts w:hint="eastAsia" w:ascii="仿宋_GB2312" w:hAnsi="仿宋_GB2312" w:eastAsia="仿宋_GB2312" w:cs="仿宋_GB2312"/>
          <w:color w:val="auto"/>
          <w:sz w:val="32"/>
          <w:szCs w:val="32"/>
          <w:u w:val="none"/>
          <w:lang w:eastAsia="zh-CN"/>
        </w:rPr>
        <w:t>报考</w:t>
      </w:r>
      <w:r>
        <w:rPr>
          <w:rFonts w:hint="eastAsia" w:ascii="仿宋_GB2312" w:hAnsi="仿宋_GB2312" w:eastAsia="仿宋_GB2312" w:cs="仿宋_GB2312"/>
          <w:color w:val="auto"/>
          <w:sz w:val="32"/>
          <w:szCs w:val="32"/>
          <w:u w:val="none"/>
        </w:rPr>
        <w:t>人员在报名时可根据报考条件和实际工作需要选择</w:t>
      </w:r>
      <w:r>
        <w:rPr>
          <w:rFonts w:hint="eastAsia" w:ascii="仿宋_GB2312" w:hAnsi="仿宋_GB2312" w:eastAsia="仿宋_GB2312" w:cs="仿宋_GB2312"/>
          <w:color w:val="auto"/>
          <w:sz w:val="32"/>
          <w:szCs w:val="32"/>
          <w:u w:val="none"/>
          <w:lang w:val="en-US" w:eastAsia="zh-CN"/>
        </w:rPr>
        <w:t>一个</w:t>
      </w:r>
      <w:r>
        <w:rPr>
          <w:rFonts w:hint="eastAsia" w:ascii="仿宋_GB2312" w:hAnsi="仿宋_GB2312" w:eastAsia="仿宋_GB2312" w:cs="仿宋_GB2312"/>
          <w:color w:val="auto"/>
          <w:sz w:val="32"/>
          <w:szCs w:val="32"/>
          <w:u w:val="none"/>
        </w:rPr>
        <w:t>科目应考。</w:t>
      </w:r>
    </w:p>
    <w:p>
      <w:pPr>
        <w:spacing w:line="600" w:lineRule="exact"/>
        <w:ind w:firstLine="640" w:firstLineChars="200"/>
        <w:rPr>
          <w:rFonts w:hint="eastAsia" w:ascii="仿宋_GB2312" w:hAnsi="仿宋_GB2312" w:eastAsia="仿宋_GB2312" w:cs="仿宋_GB2312"/>
          <w:color w:val="auto"/>
          <w:sz w:val="32"/>
          <w:szCs w:val="32"/>
          <w:u w:val="none"/>
        </w:rPr>
      </w:pPr>
      <w:r>
        <w:rPr>
          <w:rFonts w:hint="eastAsia" w:ascii="黑体" w:hAnsi="黑体" w:eastAsia="黑体" w:cs="黑体"/>
          <w:b w:val="0"/>
          <w:bCs w:val="0"/>
          <w:color w:val="000000"/>
          <w:kern w:val="2"/>
          <w:sz w:val="32"/>
          <w:szCs w:val="32"/>
          <w:u w:val="none"/>
          <w:lang w:val="en-US" w:eastAsia="zh-CN" w:bidi="ar-SA"/>
        </w:rPr>
        <w:t>第七条</w:t>
      </w:r>
      <w:r>
        <w:rPr>
          <w:rFonts w:hint="eastAsia" w:ascii="仿宋" w:hAnsi="仿宋" w:eastAsia="仿宋" w:cs="仿宋"/>
          <w:color w:val="auto"/>
          <w:sz w:val="32"/>
          <w:szCs w:val="32"/>
          <w:u w:val="none"/>
        </w:rPr>
        <w:t xml:space="preserve">  </w:t>
      </w:r>
      <w:r>
        <w:rPr>
          <w:rFonts w:hint="eastAsia" w:ascii="仿宋_GB2312" w:hAnsi="仿宋_GB2312" w:eastAsia="仿宋_GB2312" w:cs="仿宋_GB2312"/>
          <w:color w:val="auto"/>
          <w:sz w:val="32"/>
          <w:szCs w:val="32"/>
          <w:u w:val="none"/>
        </w:rPr>
        <w:t>凡遵守中华人民共和国宪法、法律、法规，具有良好的业务素质和道德品行，具备下列条件之一者，可以申请参加二级造价工程师职业资格考试：</w:t>
      </w:r>
    </w:p>
    <w:p>
      <w:pPr>
        <w:spacing w:line="60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（一）具有工程造价专业大学专科（或高等职业教育）学历，从事工程造价业务工作满2年；</w:t>
      </w:r>
    </w:p>
    <w:p>
      <w:pPr>
        <w:spacing w:line="60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（二）具有土木建筑、水利、装备制造、交通运输、电子信息、财经商贸大类大学专科（或高等职业教育）学历，从事工程造价业务工作满3年。</w:t>
      </w:r>
    </w:p>
    <w:p>
      <w:pPr>
        <w:spacing w:line="60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（三）具有工程管理、工程造价专业大学本科及以上学历或学位，从事工程造价业务工作满1年；</w:t>
      </w:r>
    </w:p>
    <w:p>
      <w:pPr>
        <w:pStyle w:val="2"/>
        <w:spacing w:beforeAutospacing="0" w:afterAutospacing="0" w:line="600" w:lineRule="exact"/>
        <w:ind w:firstLine="640" w:firstLineChars="200"/>
        <w:jc w:val="both"/>
        <w:rPr>
          <w:rFonts w:hint="eastAsia" w:ascii="仿宋_GB2312" w:hAnsi="仿宋_GB2312" w:eastAsia="仿宋_GB2312" w:cs="仿宋_GB2312"/>
          <w:color w:val="auto"/>
          <w:sz w:val="32"/>
          <w:szCs w:val="32"/>
          <w:u w:val="none"/>
          <w:lang w:val="en-US" w:eastAsia="zh-CN" w:bidi="ar-SA"/>
        </w:rPr>
      </w:pPr>
      <w:r>
        <w:rPr>
          <w:rFonts w:hint="eastAsia" w:ascii="仿宋_GB2312" w:hAnsi="仿宋_GB2312" w:eastAsia="仿宋_GB2312" w:cs="仿宋_GB2312"/>
          <w:color w:val="auto"/>
          <w:sz w:val="32"/>
          <w:szCs w:val="32"/>
          <w:u w:val="none"/>
          <w:lang w:val="en-US" w:eastAsia="zh-CN" w:bidi="ar-SA"/>
        </w:rPr>
        <w:t>（四）具有工学、管理学、经济学门类大学本科及以上学历或学位，从事工程造价业务工作满2年。</w:t>
      </w:r>
    </w:p>
    <w:p>
      <w:pPr>
        <w:pStyle w:val="2"/>
        <w:spacing w:beforeAutospacing="0" w:afterAutospacing="0" w:line="600" w:lineRule="exact"/>
        <w:ind w:firstLine="640" w:firstLineChars="200"/>
        <w:jc w:val="both"/>
        <w:rPr>
          <w:rFonts w:ascii="仿宋" w:hAnsi="仿宋" w:eastAsia="仿宋" w:cs="仿宋"/>
          <w:color w:val="auto"/>
          <w:kern w:val="2"/>
          <w:sz w:val="32"/>
          <w:szCs w:val="32"/>
          <w:u w:val="none"/>
        </w:rPr>
      </w:pPr>
      <w:r>
        <w:rPr>
          <w:rFonts w:hint="eastAsia" w:ascii="仿宋_GB2312" w:hAnsi="仿宋_GB2312" w:eastAsia="仿宋_GB2312" w:cs="仿宋_GB2312"/>
          <w:color w:val="auto"/>
          <w:sz w:val="32"/>
          <w:szCs w:val="32"/>
          <w:u w:val="none"/>
          <w:lang w:val="en-US" w:eastAsia="zh-CN" w:bidi="ar-SA"/>
        </w:rPr>
        <w:t>（五）具有其他专业相应学历学位的人员，从事工程造价业务工作年限相应增加1年。</w:t>
      </w:r>
      <w:r>
        <w:rPr>
          <w:rFonts w:hint="eastAsia" w:ascii="仿宋" w:hAnsi="仿宋" w:eastAsia="仿宋" w:cs="仿宋"/>
          <w:color w:val="auto"/>
          <w:kern w:val="2"/>
          <w:sz w:val="32"/>
          <w:szCs w:val="32"/>
          <w:u w:val="none"/>
        </w:rPr>
        <w:t xml:space="preserve"> </w:t>
      </w:r>
    </w:p>
    <w:p>
      <w:pPr>
        <w:spacing w:line="600" w:lineRule="exact"/>
        <w:ind w:firstLine="640" w:firstLineChars="200"/>
        <w:rPr>
          <w:rFonts w:hint="eastAsia" w:ascii="仿宋" w:hAnsi="仿宋" w:eastAsia="仿宋" w:cs="仿宋"/>
          <w:color w:val="auto"/>
          <w:sz w:val="32"/>
          <w:szCs w:val="32"/>
          <w:u w:val="none"/>
        </w:rPr>
      </w:pPr>
      <w:r>
        <w:rPr>
          <w:rFonts w:hint="eastAsia" w:ascii="黑体" w:hAnsi="黑体" w:eastAsia="黑体" w:cs="黑体"/>
          <w:b w:val="0"/>
          <w:bCs w:val="0"/>
          <w:color w:val="000000"/>
          <w:kern w:val="2"/>
          <w:sz w:val="32"/>
          <w:szCs w:val="32"/>
          <w:u w:val="none"/>
          <w:lang w:val="en-US" w:eastAsia="zh-CN" w:bidi="ar-SA"/>
        </w:rPr>
        <w:t>第八条</w:t>
      </w:r>
      <w:r>
        <w:rPr>
          <w:rFonts w:hint="eastAsia" w:ascii="仿宋" w:hAnsi="仿宋" w:eastAsia="仿宋" w:cs="仿宋"/>
          <w:color w:val="auto"/>
          <w:sz w:val="32"/>
          <w:szCs w:val="32"/>
          <w:u w:val="none"/>
        </w:rPr>
        <w:t xml:space="preserve">  </w:t>
      </w:r>
      <w:r>
        <w:rPr>
          <w:rFonts w:hint="eastAsia" w:ascii="仿宋_GB2312" w:hAnsi="仿宋_GB2312" w:eastAsia="仿宋_GB2312" w:cs="仿宋_GB2312"/>
          <w:color w:val="auto"/>
          <w:sz w:val="32"/>
          <w:szCs w:val="32"/>
          <w:u w:val="none"/>
        </w:rPr>
        <w:t>具有下列条件之一的，在报考二级造价师考试时可免考基础科目：</w:t>
      </w:r>
    </w:p>
    <w:p>
      <w:pPr>
        <w:spacing w:line="60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（一）已取得全国建设工程造价员资格证书；</w:t>
      </w:r>
    </w:p>
    <w:p>
      <w:pPr>
        <w:spacing w:line="60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（二）已取得公路工程造价人员资格证书（乙级）；</w:t>
      </w:r>
    </w:p>
    <w:p>
      <w:pPr>
        <w:spacing w:line="600" w:lineRule="exact"/>
        <w:ind w:firstLine="640" w:firstLineChars="200"/>
        <w:rPr>
          <w:rFonts w:ascii="仿宋" w:hAnsi="仿宋" w:eastAsia="仿宋" w:cs="仿宋"/>
          <w:color w:val="auto"/>
          <w:sz w:val="32"/>
          <w:szCs w:val="32"/>
          <w:u w:val="none"/>
        </w:rPr>
      </w:pP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三</w:t>
      </w:r>
      <w:r>
        <w:rPr>
          <w:rFonts w:hint="eastAsia" w:ascii="仿宋_GB2312" w:hAnsi="仿宋_GB2312" w:eastAsia="仿宋_GB2312" w:cs="仿宋_GB2312"/>
          <w:color w:val="auto"/>
          <w:sz w:val="32"/>
          <w:szCs w:val="32"/>
          <w:u w:val="none"/>
        </w:rPr>
        <w:t>）具有经专业教育评估（认证）的工程管理、工程造价专业学士学位的大学本科毕业生</w:t>
      </w:r>
      <w:r>
        <w:rPr>
          <w:rFonts w:hint="eastAsia" w:ascii="仿宋" w:hAnsi="仿宋" w:eastAsia="仿宋" w:cs="仿宋"/>
          <w:color w:val="auto"/>
          <w:sz w:val="32"/>
          <w:szCs w:val="32"/>
          <w:u w:val="none"/>
        </w:rPr>
        <w:t>。</w:t>
      </w:r>
    </w:p>
    <w:p>
      <w:pPr>
        <w:spacing w:line="60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属前款第（一）、（二）项之条件，申请免考基础科目的人员，在资格审查时须提供相应证书，属第（</w:t>
      </w:r>
      <w:r>
        <w:rPr>
          <w:rFonts w:hint="eastAsia" w:ascii="仿宋_GB2312" w:hAnsi="仿宋_GB2312" w:eastAsia="仿宋_GB2312" w:cs="仿宋_GB2312"/>
          <w:color w:val="auto"/>
          <w:sz w:val="32"/>
          <w:szCs w:val="32"/>
          <w:u w:val="none"/>
          <w:lang w:eastAsia="zh-CN"/>
        </w:rPr>
        <w:t>三</w:t>
      </w:r>
      <w:r>
        <w:rPr>
          <w:rFonts w:hint="eastAsia" w:ascii="仿宋_GB2312" w:hAnsi="仿宋_GB2312" w:eastAsia="仿宋_GB2312" w:cs="仿宋_GB2312"/>
          <w:color w:val="auto"/>
          <w:sz w:val="32"/>
          <w:szCs w:val="32"/>
          <w:u w:val="none"/>
        </w:rPr>
        <w:t>）项之条件</w:t>
      </w:r>
      <w:r>
        <w:rPr>
          <w:rFonts w:hint="eastAsia" w:ascii="仿宋_GB2312" w:hAnsi="仿宋_GB2312" w:eastAsia="仿宋_GB2312" w:cs="仿宋_GB2312"/>
          <w:color w:val="auto"/>
          <w:sz w:val="32"/>
          <w:szCs w:val="32"/>
          <w:u w:val="none"/>
          <w:lang w:eastAsia="zh-CN"/>
        </w:rPr>
        <w:t>的，</w:t>
      </w:r>
      <w:r>
        <w:rPr>
          <w:rFonts w:hint="eastAsia" w:ascii="仿宋_GB2312" w:hAnsi="仿宋_GB2312" w:eastAsia="仿宋_GB2312" w:cs="仿宋_GB2312"/>
          <w:color w:val="auto"/>
          <w:sz w:val="32"/>
          <w:szCs w:val="32"/>
          <w:u w:val="none"/>
        </w:rPr>
        <w:t>在资格审查时须提供相应证明材料。</w:t>
      </w:r>
    </w:p>
    <w:p>
      <w:pPr>
        <w:spacing w:line="600" w:lineRule="exact"/>
        <w:ind w:firstLine="640" w:firstLineChars="200"/>
        <w:rPr>
          <w:rFonts w:hint="eastAsia" w:ascii="仿宋" w:hAnsi="仿宋" w:eastAsia="仿宋"/>
          <w:color w:val="auto"/>
          <w:sz w:val="32"/>
          <w:szCs w:val="32"/>
          <w:u w:val="none"/>
        </w:rPr>
      </w:pPr>
      <w:r>
        <w:rPr>
          <w:rFonts w:hint="eastAsia" w:ascii="黑体" w:hAnsi="黑体" w:eastAsia="黑体" w:cs="黑体"/>
          <w:b w:val="0"/>
          <w:bCs w:val="0"/>
          <w:color w:val="000000"/>
          <w:kern w:val="2"/>
          <w:sz w:val="32"/>
          <w:szCs w:val="32"/>
          <w:u w:val="none"/>
          <w:lang w:val="en-US" w:eastAsia="zh-CN" w:bidi="ar-SA"/>
        </w:rPr>
        <w:t>第九条</w:t>
      </w:r>
      <w:r>
        <w:rPr>
          <w:rFonts w:hint="eastAsia" w:ascii="仿宋" w:hAnsi="仿宋" w:eastAsia="仿宋" w:cs="仿宋"/>
          <w:color w:val="auto"/>
          <w:sz w:val="32"/>
          <w:szCs w:val="32"/>
          <w:u w:val="none"/>
        </w:rPr>
        <w:t xml:space="preserve">  </w:t>
      </w:r>
      <w:r>
        <w:rPr>
          <w:rFonts w:hint="eastAsia" w:ascii="仿宋_GB2312" w:hAnsi="仿宋_GB2312" w:eastAsia="仿宋_GB2312" w:cs="仿宋_GB2312"/>
          <w:color w:val="auto"/>
          <w:sz w:val="32"/>
          <w:szCs w:val="32"/>
          <w:u w:val="none"/>
        </w:rPr>
        <w:t>二级造价师报名考试实行承诺制，报考人员</w:t>
      </w:r>
      <w:r>
        <w:rPr>
          <w:rFonts w:hint="eastAsia" w:ascii="仿宋_GB2312" w:hAnsi="仿宋_GB2312" w:eastAsia="仿宋_GB2312" w:cs="仿宋_GB2312"/>
          <w:color w:val="auto"/>
          <w:sz w:val="32"/>
          <w:szCs w:val="32"/>
          <w:u w:val="none"/>
          <w:lang w:val="en-US" w:eastAsia="zh-CN"/>
        </w:rPr>
        <w:t>应</w:t>
      </w:r>
      <w:r>
        <w:rPr>
          <w:rFonts w:hint="eastAsia" w:ascii="仿宋_GB2312" w:hAnsi="仿宋_GB2312" w:eastAsia="仿宋_GB2312" w:cs="仿宋_GB2312"/>
          <w:color w:val="auto"/>
          <w:sz w:val="32"/>
          <w:szCs w:val="32"/>
          <w:u w:val="none"/>
        </w:rPr>
        <w:t>按</w:t>
      </w:r>
      <w:r>
        <w:rPr>
          <w:rFonts w:hint="eastAsia" w:ascii="仿宋_GB2312" w:hAnsi="仿宋_GB2312" w:eastAsia="仿宋_GB2312" w:cs="仿宋_GB2312"/>
          <w:color w:val="auto"/>
          <w:sz w:val="32"/>
          <w:szCs w:val="32"/>
          <w:u w:val="none"/>
          <w:lang w:val="en-US" w:eastAsia="zh-CN"/>
        </w:rPr>
        <w:t>要求填写</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承诺书</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，省住房城乡建设厅</w:t>
      </w:r>
      <w:r>
        <w:rPr>
          <w:rFonts w:hint="eastAsia" w:ascii="仿宋_GB2312" w:hAnsi="仿宋_GB2312" w:eastAsia="仿宋_GB2312" w:cs="仿宋_GB2312"/>
          <w:color w:val="auto"/>
          <w:sz w:val="32"/>
          <w:szCs w:val="32"/>
          <w:u w:val="none"/>
          <w:lang w:val="en-US" w:eastAsia="zh-CN"/>
        </w:rPr>
        <w:t>负责</w:t>
      </w:r>
      <w:r>
        <w:rPr>
          <w:rFonts w:hint="eastAsia" w:ascii="仿宋_GB2312" w:hAnsi="仿宋_GB2312" w:eastAsia="仿宋_GB2312" w:cs="仿宋_GB2312"/>
          <w:color w:val="auto"/>
          <w:sz w:val="32"/>
          <w:szCs w:val="32"/>
          <w:u w:val="none"/>
        </w:rPr>
        <w:t>核发准考证。</w:t>
      </w:r>
    </w:p>
    <w:p>
      <w:pPr>
        <w:spacing w:line="60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报考</w:t>
      </w:r>
      <w:r>
        <w:rPr>
          <w:rFonts w:hint="eastAsia" w:ascii="仿宋_GB2312" w:hAnsi="仿宋_GB2312" w:eastAsia="仿宋_GB2312" w:cs="仿宋_GB2312"/>
          <w:color w:val="auto"/>
          <w:sz w:val="32"/>
          <w:szCs w:val="32"/>
          <w:u w:val="none"/>
        </w:rPr>
        <w:t>人员凭准考证和有效</w:t>
      </w:r>
      <w:r>
        <w:rPr>
          <w:rFonts w:hint="eastAsia" w:ascii="仿宋_GB2312" w:hAnsi="仿宋_GB2312" w:eastAsia="仿宋_GB2312" w:cs="仿宋_GB2312"/>
          <w:color w:val="auto"/>
          <w:sz w:val="32"/>
          <w:szCs w:val="32"/>
          <w:u w:val="none"/>
          <w:lang w:eastAsia="zh-CN"/>
        </w:rPr>
        <w:t>的居民身份证</w:t>
      </w:r>
      <w:r>
        <w:rPr>
          <w:rFonts w:hint="eastAsia" w:ascii="仿宋_GB2312" w:hAnsi="仿宋_GB2312" w:eastAsia="仿宋_GB2312" w:cs="仿宋_GB2312"/>
          <w:color w:val="auto"/>
          <w:sz w:val="32"/>
          <w:szCs w:val="32"/>
          <w:u w:val="none"/>
        </w:rPr>
        <w:t>在指定的日期、时间和地点参加考试。</w:t>
      </w:r>
    </w:p>
    <w:p>
      <w:pPr>
        <w:spacing w:line="600" w:lineRule="exact"/>
        <w:ind w:firstLine="640" w:firstLineChars="20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中央和国务院各部门及所属单位、中央管理企业的驻滇人员按照本细则报名参加考试。</w:t>
      </w:r>
    </w:p>
    <w:p>
      <w:pPr>
        <w:spacing w:line="600" w:lineRule="exact"/>
        <w:ind w:firstLine="640" w:firstLineChars="200"/>
        <w:rPr>
          <w:rFonts w:hint="eastAsia" w:ascii="仿宋" w:hAnsi="仿宋" w:eastAsia="仿宋" w:cs="仿宋"/>
          <w:color w:val="auto"/>
          <w:sz w:val="32"/>
          <w:szCs w:val="32"/>
          <w:u w:val="none"/>
        </w:rPr>
      </w:pPr>
      <w:r>
        <w:rPr>
          <w:rFonts w:hint="eastAsia" w:ascii="黑体" w:hAnsi="黑体" w:eastAsia="黑体" w:cs="黑体"/>
          <w:b w:val="0"/>
          <w:bCs w:val="0"/>
          <w:color w:val="000000"/>
          <w:kern w:val="2"/>
          <w:sz w:val="32"/>
          <w:szCs w:val="32"/>
          <w:u w:val="none"/>
          <w:lang w:val="en-US" w:eastAsia="zh-CN" w:bidi="ar-SA"/>
        </w:rPr>
        <w:t>第十条</w:t>
      </w:r>
      <w:r>
        <w:rPr>
          <w:rFonts w:hint="eastAsia" w:ascii="仿宋" w:hAnsi="仿宋" w:eastAsia="仿宋" w:cs="仿宋"/>
          <w:color w:val="auto"/>
          <w:sz w:val="32"/>
          <w:szCs w:val="32"/>
          <w:u w:val="none"/>
        </w:rPr>
        <w:t xml:space="preserve">  </w:t>
      </w:r>
      <w:r>
        <w:rPr>
          <w:rFonts w:hint="eastAsia" w:ascii="仿宋_GB2312" w:hAnsi="仿宋_GB2312" w:eastAsia="仿宋_GB2312" w:cs="仿宋_GB2312"/>
          <w:color w:val="auto"/>
          <w:sz w:val="32"/>
          <w:szCs w:val="32"/>
          <w:u w:val="none"/>
        </w:rPr>
        <w:t>二级造价师职业资格考试成绩实行</w:t>
      </w:r>
      <w:r>
        <w:rPr>
          <w:rFonts w:hint="eastAsia" w:ascii="仿宋_GB2312" w:hAnsi="仿宋_GB2312" w:eastAsia="仿宋_GB2312" w:cs="仿宋_GB2312"/>
          <w:color w:val="auto"/>
          <w:sz w:val="32"/>
          <w:szCs w:val="32"/>
          <w:u w:val="none"/>
          <w:lang w:val="en-US" w:eastAsia="zh-CN"/>
        </w:rPr>
        <w:t>2</w:t>
      </w:r>
      <w:r>
        <w:rPr>
          <w:rFonts w:hint="eastAsia" w:ascii="仿宋_GB2312" w:hAnsi="仿宋_GB2312" w:eastAsia="仿宋_GB2312" w:cs="仿宋_GB2312"/>
          <w:color w:val="auto"/>
          <w:sz w:val="32"/>
          <w:szCs w:val="32"/>
          <w:u w:val="none"/>
        </w:rPr>
        <w:t>年为一个周期的滚动管理。参加全部</w:t>
      </w:r>
      <w:r>
        <w:rPr>
          <w:rFonts w:hint="eastAsia" w:ascii="仿宋_GB2312" w:hAnsi="仿宋_GB2312" w:eastAsia="仿宋_GB2312" w:cs="仿宋_GB2312"/>
          <w:color w:val="auto"/>
          <w:sz w:val="32"/>
          <w:szCs w:val="32"/>
          <w:u w:val="none"/>
          <w:lang w:val="en-US" w:eastAsia="zh-CN"/>
        </w:rPr>
        <w:t>2</w:t>
      </w:r>
      <w:r>
        <w:rPr>
          <w:rFonts w:hint="eastAsia" w:ascii="仿宋_GB2312" w:hAnsi="仿宋_GB2312" w:eastAsia="仿宋_GB2312" w:cs="仿宋_GB2312"/>
          <w:color w:val="auto"/>
          <w:sz w:val="32"/>
          <w:szCs w:val="32"/>
          <w:u w:val="none"/>
        </w:rPr>
        <w:t>个科目考试的人员必须在连续</w:t>
      </w:r>
      <w:r>
        <w:rPr>
          <w:rFonts w:hint="eastAsia" w:ascii="仿宋_GB2312" w:hAnsi="仿宋_GB2312" w:eastAsia="仿宋_GB2312" w:cs="仿宋_GB2312"/>
          <w:color w:val="auto"/>
          <w:sz w:val="32"/>
          <w:szCs w:val="32"/>
          <w:u w:val="none"/>
          <w:lang w:val="en-US" w:eastAsia="zh-CN"/>
        </w:rPr>
        <w:t>2</w:t>
      </w:r>
      <w:r>
        <w:rPr>
          <w:rFonts w:hint="eastAsia" w:ascii="仿宋_GB2312" w:hAnsi="仿宋_GB2312" w:eastAsia="仿宋_GB2312" w:cs="仿宋_GB2312"/>
          <w:color w:val="auto"/>
          <w:sz w:val="32"/>
          <w:szCs w:val="32"/>
          <w:u w:val="none"/>
        </w:rPr>
        <w:t>个考试年度内通过全部科目，方可取得《云南省二级造价工程师职业资格证书（电子证书）》。对于免考基础科目的</w:t>
      </w:r>
      <w:r>
        <w:rPr>
          <w:rFonts w:hint="eastAsia" w:ascii="仿宋_GB2312" w:hAnsi="仿宋_GB2312" w:eastAsia="仿宋_GB2312" w:cs="仿宋_GB2312"/>
          <w:color w:val="auto"/>
          <w:sz w:val="32"/>
          <w:szCs w:val="32"/>
          <w:u w:val="none"/>
          <w:lang w:eastAsia="zh-CN"/>
        </w:rPr>
        <w:t>报考</w:t>
      </w:r>
      <w:r>
        <w:rPr>
          <w:rFonts w:hint="eastAsia" w:ascii="仿宋_GB2312" w:hAnsi="仿宋_GB2312" w:eastAsia="仿宋_GB2312" w:cs="仿宋_GB2312"/>
          <w:color w:val="auto"/>
          <w:sz w:val="32"/>
          <w:szCs w:val="32"/>
          <w:u w:val="none"/>
        </w:rPr>
        <w:t>人员，须通过专业科目考试方可取得《云南省二级造价工程师职业资格证书（电子证书）》。</w:t>
      </w:r>
    </w:p>
    <w:p>
      <w:pPr>
        <w:spacing w:line="600" w:lineRule="exact"/>
        <w:ind w:firstLine="640" w:firstLineChars="200"/>
        <w:rPr>
          <w:rFonts w:hint="eastAsia" w:ascii="仿宋" w:hAnsi="仿宋" w:eastAsia="仿宋" w:cs="仿宋"/>
          <w:color w:val="auto"/>
          <w:sz w:val="32"/>
          <w:szCs w:val="32"/>
          <w:u w:val="none"/>
          <w:lang w:val="en-US" w:eastAsia="zh-CN"/>
        </w:rPr>
      </w:pPr>
      <w:r>
        <w:rPr>
          <w:rFonts w:hint="eastAsia" w:ascii="黑体" w:hAnsi="黑体" w:eastAsia="黑体" w:cs="黑体"/>
          <w:b w:val="0"/>
          <w:bCs w:val="0"/>
          <w:color w:val="auto"/>
          <w:kern w:val="2"/>
          <w:sz w:val="32"/>
          <w:szCs w:val="32"/>
          <w:u w:val="none"/>
          <w:lang w:val="en-US" w:eastAsia="zh-CN" w:bidi="ar-SA"/>
        </w:rPr>
        <w:t>第十一条</w:t>
      </w:r>
      <w:r>
        <w:rPr>
          <w:rFonts w:hint="eastAsia" w:ascii="仿宋" w:hAnsi="仿宋" w:eastAsia="仿宋" w:cs="仿宋"/>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已取得</w:t>
      </w:r>
      <w:r>
        <w:rPr>
          <w:rFonts w:hint="eastAsia" w:ascii="仿宋_GB2312" w:hAnsi="仿宋_GB2312" w:eastAsia="仿宋_GB2312" w:cs="仿宋_GB2312"/>
          <w:color w:val="auto"/>
          <w:sz w:val="32"/>
          <w:szCs w:val="32"/>
          <w:u w:val="none"/>
          <w:lang w:val="en-US" w:eastAsia="zh-CN"/>
        </w:rPr>
        <w:t>二级</w:t>
      </w:r>
      <w:r>
        <w:rPr>
          <w:rFonts w:hint="eastAsia" w:ascii="仿宋_GB2312" w:hAnsi="仿宋_GB2312" w:eastAsia="仿宋_GB2312" w:cs="仿宋_GB2312"/>
          <w:color w:val="auto"/>
          <w:sz w:val="32"/>
          <w:szCs w:val="32"/>
          <w:u w:val="none"/>
        </w:rPr>
        <w:t>造价师一种专业职业资格证书的人员，报名参加其他专业科目考试的，可免考基础科目。考试合格后，核发人力资源社会保障部门统一印制的相应专业考试合格证明。该证明作为注册时增加执业专业类别的依据。</w:t>
      </w:r>
    </w:p>
    <w:p>
      <w:pPr>
        <w:pStyle w:val="7"/>
        <w:spacing w:line="600" w:lineRule="exact"/>
        <w:ind w:firstLine="640"/>
        <w:rPr>
          <w:rFonts w:hint="eastAsia" w:ascii="仿宋" w:hAnsi="仿宋" w:eastAsia="仿宋" w:cs="仿宋"/>
          <w:color w:val="auto"/>
          <w:sz w:val="32"/>
          <w:szCs w:val="32"/>
          <w:u w:val="none"/>
        </w:rPr>
      </w:pPr>
      <w:r>
        <w:rPr>
          <w:rFonts w:hint="eastAsia" w:ascii="黑体" w:hAnsi="黑体" w:eastAsia="黑体" w:cs="黑体"/>
          <w:b w:val="0"/>
          <w:bCs w:val="0"/>
          <w:color w:val="000000"/>
          <w:kern w:val="2"/>
          <w:sz w:val="32"/>
          <w:szCs w:val="32"/>
          <w:u w:val="none"/>
          <w:lang w:val="en-US" w:eastAsia="zh-CN" w:bidi="ar-SA"/>
        </w:rPr>
        <w:t>第十二条</w:t>
      </w:r>
      <w:r>
        <w:rPr>
          <w:rFonts w:hint="eastAsia" w:ascii="仿宋" w:hAnsi="仿宋" w:eastAsia="仿宋" w:cs="仿宋"/>
          <w:color w:val="auto"/>
          <w:sz w:val="32"/>
          <w:szCs w:val="32"/>
          <w:u w:val="none"/>
        </w:rPr>
        <w:t xml:space="preserve">  </w:t>
      </w:r>
      <w:r>
        <w:rPr>
          <w:rFonts w:hint="eastAsia" w:ascii="仿宋_GB2312" w:hAnsi="仿宋_GB2312" w:eastAsia="仿宋_GB2312" w:cs="仿宋_GB2312"/>
          <w:color w:val="auto"/>
          <w:sz w:val="32"/>
          <w:szCs w:val="32"/>
          <w:u w:val="none"/>
          <w:lang w:val="en-US" w:eastAsia="zh-CN" w:bidi="ar-SA"/>
        </w:rPr>
        <w:t>省人力资源社会保障厅会同省住房城乡建设厅、省交通运输厅、省水利厅确定二级造价师职业资格考试合格标准。考试合格者，由省住房城乡建设厅、省交通运输厅、省水利厅按专业类别分别与省人力资源社会保障厅联合用印颁发《云南省二级造价工程师职业资格证书（电子证书）》。</w:t>
      </w:r>
    </w:p>
    <w:p>
      <w:pPr>
        <w:pStyle w:val="7"/>
        <w:spacing w:line="600" w:lineRule="exact"/>
        <w:ind w:firstLine="640"/>
        <w:rPr>
          <w:rFonts w:ascii="仿宋" w:hAnsi="仿宋" w:eastAsia="仿宋"/>
          <w:color w:val="auto"/>
          <w:sz w:val="32"/>
          <w:szCs w:val="32"/>
          <w:u w:val="none"/>
        </w:rPr>
      </w:pPr>
      <w:r>
        <w:rPr>
          <w:rFonts w:hint="eastAsia" w:ascii="仿宋_GB2312" w:hAnsi="仿宋_GB2312" w:eastAsia="仿宋_GB2312" w:cs="仿宋_GB2312"/>
          <w:color w:val="auto"/>
          <w:sz w:val="32"/>
          <w:szCs w:val="32"/>
          <w:u w:val="none"/>
          <w:lang w:val="en-US" w:eastAsia="zh-CN" w:bidi="ar-SA"/>
        </w:rPr>
        <w:t>《云南省二级造价工程师职业资格证书（电子证书）》在全省范围内有效，亦可在互认的省份内有效。</w:t>
      </w:r>
    </w:p>
    <w:p>
      <w:pPr>
        <w:spacing w:line="600" w:lineRule="exact"/>
        <w:ind w:left="2" w:firstLine="640" w:firstLineChars="200"/>
        <w:rPr>
          <w:rFonts w:hint="eastAsia" w:ascii="仿宋_GB2312" w:hAnsi="仿宋_GB2312" w:eastAsia="仿宋_GB2312" w:cs="仿宋_GB2312"/>
          <w:color w:val="auto"/>
          <w:sz w:val="32"/>
          <w:szCs w:val="32"/>
          <w:u w:val="none"/>
        </w:rPr>
      </w:pPr>
      <w:r>
        <w:rPr>
          <w:rFonts w:hint="eastAsia" w:ascii="黑体" w:hAnsi="黑体" w:eastAsia="黑体" w:cs="黑体"/>
          <w:b w:val="0"/>
          <w:bCs w:val="0"/>
          <w:color w:val="000000"/>
          <w:kern w:val="2"/>
          <w:sz w:val="32"/>
          <w:szCs w:val="32"/>
          <w:u w:val="none"/>
          <w:lang w:val="en-US" w:eastAsia="zh-CN" w:bidi="ar-SA"/>
        </w:rPr>
        <w:t>第十三条</w:t>
      </w:r>
      <w:r>
        <w:rPr>
          <w:rFonts w:hint="eastAsia" w:ascii="仿宋" w:hAnsi="仿宋" w:eastAsia="仿宋" w:cs="仿宋"/>
          <w:color w:val="auto"/>
          <w:sz w:val="32"/>
          <w:szCs w:val="32"/>
          <w:u w:val="none"/>
        </w:rPr>
        <w:t xml:space="preserve">  </w:t>
      </w:r>
      <w:r>
        <w:rPr>
          <w:rFonts w:hint="eastAsia" w:ascii="仿宋_GB2312" w:hAnsi="仿宋_GB2312" w:eastAsia="仿宋_GB2312" w:cs="仿宋_GB2312"/>
          <w:color w:val="auto"/>
          <w:sz w:val="32"/>
          <w:szCs w:val="32"/>
          <w:u w:val="none"/>
        </w:rPr>
        <w:t>坚持考试与培训分开的原则。凡参与考试工作（包括命题、审题与组织管理）的人员，不得参加考试，也不得参加或者举办与考试内容相关的培训工作。</w:t>
      </w:r>
    </w:p>
    <w:p>
      <w:pPr>
        <w:spacing w:line="600" w:lineRule="exact"/>
        <w:ind w:left="2"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报考</w:t>
      </w:r>
      <w:r>
        <w:rPr>
          <w:rFonts w:hint="eastAsia" w:ascii="仿宋_GB2312" w:hAnsi="仿宋_GB2312" w:eastAsia="仿宋_GB2312" w:cs="仿宋_GB2312"/>
          <w:color w:val="auto"/>
          <w:sz w:val="32"/>
          <w:szCs w:val="32"/>
          <w:u w:val="none"/>
        </w:rPr>
        <w:t>人员参加培训坚持自愿原则。</w:t>
      </w:r>
    </w:p>
    <w:p>
      <w:pPr>
        <w:wordWrap w:val="0"/>
        <w:spacing w:before="181" w:beforeLines="50" w:after="181" w:afterLines="50" w:line="600" w:lineRule="exact"/>
        <w:jc w:val="center"/>
        <w:rPr>
          <w:rFonts w:hint="eastAsia" w:ascii="黑体" w:hAnsi="黑体" w:eastAsia="黑体" w:cs="黑体"/>
          <w:b w:val="0"/>
          <w:bCs w:val="0"/>
          <w:color w:val="auto"/>
          <w:sz w:val="32"/>
          <w:szCs w:val="32"/>
          <w:u w:val="none"/>
        </w:rPr>
      </w:pPr>
      <w:r>
        <w:rPr>
          <w:rFonts w:hint="eastAsia" w:ascii="黑体" w:hAnsi="黑体" w:eastAsia="黑体" w:cs="黑体"/>
          <w:b w:val="0"/>
          <w:bCs w:val="0"/>
          <w:color w:val="auto"/>
          <w:sz w:val="32"/>
          <w:szCs w:val="32"/>
          <w:u w:val="none"/>
        </w:rPr>
        <w:t>第</w:t>
      </w:r>
      <w:r>
        <w:rPr>
          <w:rFonts w:hint="eastAsia" w:ascii="黑体" w:hAnsi="黑体" w:eastAsia="黑体" w:cs="黑体"/>
          <w:b w:val="0"/>
          <w:bCs w:val="0"/>
          <w:color w:val="auto"/>
          <w:sz w:val="32"/>
          <w:szCs w:val="32"/>
          <w:u w:val="none"/>
          <w:lang w:eastAsia="zh-CN"/>
        </w:rPr>
        <w:t>三</w:t>
      </w:r>
      <w:r>
        <w:rPr>
          <w:rFonts w:hint="eastAsia" w:ascii="黑体" w:hAnsi="黑体" w:eastAsia="黑体" w:cs="黑体"/>
          <w:b w:val="0"/>
          <w:bCs w:val="0"/>
          <w:color w:val="auto"/>
          <w:sz w:val="32"/>
          <w:szCs w:val="32"/>
          <w:u w:val="none"/>
        </w:rPr>
        <w:t>章 附则</w:t>
      </w:r>
    </w:p>
    <w:p>
      <w:pPr>
        <w:spacing w:line="600" w:lineRule="exact"/>
        <w:ind w:left="2" w:firstLine="640" w:firstLineChars="200"/>
        <w:rPr>
          <w:rFonts w:ascii="仿宋" w:hAnsi="仿宋" w:eastAsia="仿宋" w:cs="仿宋"/>
          <w:color w:val="auto"/>
          <w:sz w:val="32"/>
          <w:szCs w:val="32"/>
          <w:u w:val="none"/>
        </w:rPr>
      </w:pPr>
      <w:r>
        <w:rPr>
          <w:rFonts w:hint="eastAsia" w:ascii="黑体" w:hAnsi="黑体" w:eastAsia="黑体" w:cs="黑体"/>
          <w:b w:val="0"/>
          <w:bCs w:val="0"/>
          <w:color w:val="000000"/>
          <w:kern w:val="2"/>
          <w:sz w:val="32"/>
          <w:szCs w:val="32"/>
          <w:u w:val="none"/>
          <w:lang w:val="en-US" w:eastAsia="zh-CN" w:bidi="ar-SA"/>
        </w:rPr>
        <w:t>第十四条</w:t>
      </w:r>
      <w:r>
        <w:rPr>
          <w:rFonts w:hint="eastAsia" w:ascii="仿宋" w:hAnsi="仿宋" w:eastAsia="仿宋" w:cs="仿宋"/>
          <w:color w:val="auto"/>
          <w:sz w:val="32"/>
          <w:szCs w:val="32"/>
          <w:u w:val="none"/>
        </w:rPr>
        <w:t xml:space="preserve">  </w:t>
      </w:r>
      <w:r>
        <w:rPr>
          <w:rFonts w:hint="eastAsia" w:ascii="仿宋_GB2312" w:hAnsi="仿宋_GB2312" w:eastAsia="仿宋_GB2312" w:cs="仿宋_GB2312"/>
          <w:color w:val="auto"/>
          <w:sz w:val="32"/>
          <w:szCs w:val="32"/>
          <w:u w:val="none"/>
        </w:rPr>
        <w:t>考试实施机构及其工作人员，应当严格执行国家</w:t>
      </w:r>
      <w:r>
        <w:rPr>
          <w:rFonts w:hint="eastAsia" w:ascii="仿宋_GB2312" w:hAnsi="仿宋_GB2312" w:eastAsia="仿宋_GB2312" w:cs="仿宋_GB2312"/>
          <w:color w:val="auto"/>
          <w:sz w:val="32"/>
          <w:szCs w:val="32"/>
          <w:u w:val="none"/>
          <w:lang w:val="en-US" w:eastAsia="zh-CN"/>
        </w:rPr>
        <w:t>和我省</w:t>
      </w:r>
      <w:r>
        <w:rPr>
          <w:rFonts w:hint="eastAsia" w:ascii="仿宋_GB2312" w:hAnsi="仿宋_GB2312" w:eastAsia="仿宋_GB2312" w:cs="仿宋_GB2312"/>
          <w:color w:val="auto"/>
          <w:sz w:val="32"/>
          <w:szCs w:val="32"/>
          <w:u w:val="none"/>
        </w:rPr>
        <w:t>人事考试工作纪律</w:t>
      </w:r>
      <w:r>
        <w:rPr>
          <w:rFonts w:hint="eastAsia" w:ascii="仿宋_GB2312" w:hAnsi="仿宋_GB2312" w:eastAsia="仿宋_GB2312" w:cs="仿宋_GB2312"/>
          <w:color w:val="auto"/>
          <w:sz w:val="32"/>
          <w:szCs w:val="32"/>
          <w:u w:val="none"/>
          <w:lang w:eastAsia="zh-CN"/>
        </w:rPr>
        <w:t>，遵守</w:t>
      </w:r>
      <w:r>
        <w:rPr>
          <w:rFonts w:hint="eastAsia" w:ascii="仿宋_GB2312" w:hAnsi="仿宋_GB2312" w:eastAsia="仿宋_GB2312" w:cs="仿宋_GB2312"/>
          <w:color w:val="auto"/>
          <w:sz w:val="32"/>
          <w:szCs w:val="32"/>
          <w:u w:val="none"/>
        </w:rPr>
        <w:t>各项规章制度，切实做好考试</w:t>
      </w:r>
      <w:r>
        <w:rPr>
          <w:rFonts w:hint="eastAsia" w:ascii="仿宋_GB2312" w:hAnsi="仿宋_GB2312" w:eastAsia="仿宋_GB2312" w:cs="仿宋_GB2312"/>
          <w:color w:val="auto"/>
          <w:sz w:val="32"/>
          <w:szCs w:val="32"/>
          <w:u w:val="none"/>
          <w:lang w:val="en-US" w:eastAsia="zh-CN"/>
        </w:rPr>
        <w:t>考务</w:t>
      </w:r>
      <w:r>
        <w:rPr>
          <w:rFonts w:hint="eastAsia" w:ascii="仿宋_GB2312" w:hAnsi="仿宋_GB2312" w:eastAsia="仿宋_GB2312" w:cs="仿宋_GB2312"/>
          <w:color w:val="auto"/>
          <w:sz w:val="32"/>
          <w:szCs w:val="32"/>
          <w:u w:val="none"/>
        </w:rPr>
        <w:t>各环节的安全保密工作，严防泄密。</w:t>
      </w:r>
    </w:p>
    <w:p>
      <w:pPr>
        <w:spacing w:line="60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对违反考试工作纪律</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有关规定</w:t>
      </w:r>
      <w:r>
        <w:rPr>
          <w:rFonts w:hint="eastAsia" w:ascii="仿宋_GB2312" w:hAnsi="仿宋_GB2312" w:eastAsia="仿宋_GB2312" w:cs="仿宋_GB2312"/>
          <w:color w:val="auto"/>
          <w:sz w:val="32"/>
          <w:szCs w:val="32"/>
          <w:u w:val="none"/>
          <w:lang w:val="en-US" w:eastAsia="zh-CN"/>
        </w:rPr>
        <w:t>及提供虚假证明材料或</w:t>
      </w:r>
      <w:r>
        <w:rPr>
          <w:rFonts w:hint="eastAsia" w:ascii="仿宋_GB2312" w:hAnsi="仿宋_GB2312" w:eastAsia="仿宋_GB2312" w:cs="仿宋_GB2312"/>
          <w:color w:val="auto"/>
          <w:sz w:val="32"/>
          <w:szCs w:val="32"/>
          <w:u w:val="none"/>
        </w:rPr>
        <w:t>以</w:t>
      </w:r>
      <w:r>
        <w:rPr>
          <w:rFonts w:hint="eastAsia" w:ascii="仿宋_GB2312" w:hAnsi="仿宋_GB2312" w:eastAsia="仿宋_GB2312" w:cs="仿宋_GB2312"/>
          <w:color w:val="auto"/>
          <w:sz w:val="32"/>
          <w:szCs w:val="32"/>
          <w:u w:val="none"/>
          <w:lang w:val="en-US" w:eastAsia="zh-CN"/>
        </w:rPr>
        <w:t>其他</w:t>
      </w:r>
      <w:r>
        <w:rPr>
          <w:rFonts w:hint="eastAsia" w:ascii="仿宋_GB2312" w:hAnsi="仿宋_GB2312" w:eastAsia="仿宋_GB2312" w:cs="仿宋_GB2312"/>
          <w:color w:val="auto"/>
          <w:sz w:val="32"/>
          <w:szCs w:val="32"/>
          <w:u w:val="none"/>
        </w:rPr>
        <w:t>不正当手段取得《云南省二级造价工程师职业资格证书（电子证书）》的，按照国家</w:t>
      </w:r>
      <w:r>
        <w:rPr>
          <w:rFonts w:hint="eastAsia" w:ascii="仿宋_GB2312" w:hAnsi="仿宋_GB2312" w:eastAsia="仿宋_GB2312" w:cs="仿宋_GB2312"/>
          <w:color w:val="auto"/>
          <w:sz w:val="32"/>
          <w:szCs w:val="32"/>
          <w:u w:val="none"/>
          <w:lang w:val="en-US" w:eastAsia="zh-CN"/>
        </w:rPr>
        <w:t>和省</w:t>
      </w:r>
      <w:r>
        <w:rPr>
          <w:rFonts w:hint="eastAsia" w:ascii="仿宋_GB2312" w:hAnsi="仿宋_GB2312" w:eastAsia="仿宋_GB2312" w:cs="仿宋_GB2312"/>
          <w:color w:val="auto"/>
          <w:sz w:val="32"/>
          <w:szCs w:val="32"/>
          <w:u w:val="none"/>
        </w:rPr>
        <w:t>专业技术人员资格考试有关规定进行处理</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涉嫌违法的，由司法机关依法处理。</w:t>
      </w:r>
    </w:p>
    <w:p>
      <w:pPr>
        <w:numPr>
          <w:ilvl w:val="0"/>
          <w:numId w:val="1"/>
        </w:numPr>
        <w:spacing w:line="600" w:lineRule="exact"/>
        <w:ind w:firstLine="640" w:firstLineChars="200"/>
        <w:rPr>
          <w:rStyle w:val="5"/>
          <w:rFonts w:hint="eastAsia" w:ascii="黑体" w:hAnsi="黑体" w:eastAsia="黑体"/>
          <w:b w:val="0"/>
          <w:color w:val="auto"/>
          <w:sz w:val="32"/>
          <w:szCs w:val="32"/>
          <w:u w:val="none"/>
        </w:rPr>
      </w:pPr>
      <w:r>
        <w:rPr>
          <w:rStyle w:val="5"/>
          <w:rFonts w:hint="eastAsia" w:ascii="黑体" w:hAnsi="黑体" w:eastAsia="黑体"/>
          <w:b w:val="0"/>
          <w:color w:val="auto"/>
          <w:sz w:val="32"/>
          <w:szCs w:val="32"/>
          <w:u w:val="none"/>
        </w:rPr>
        <w:t xml:space="preserve"> </w:t>
      </w:r>
      <w:r>
        <w:rPr>
          <w:rStyle w:val="5"/>
          <w:rFonts w:hint="eastAsia" w:ascii="仿宋_GB2312" w:hAnsi="仿宋_GB2312" w:eastAsia="仿宋_GB2312" w:cs="仿宋_GB2312"/>
          <w:b w:val="0"/>
          <w:color w:val="auto"/>
          <w:sz w:val="32"/>
          <w:szCs w:val="32"/>
          <w:u w:val="none"/>
          <w:lang w:eastAsia="zh-CN"/>
        </w:rPr>
        <w:t>二级造价师职业资格考试收费，按照省财政厅、省发展改革委批准的标准执行。</w:t>
      </w:r>
    </w:p>
    <w:p>
      <w:pPr>
        <w:numPr>
          <w:ilvl w:val="0"/>
          <w:numId w:val="0"/>
        </w:numPr>
        <w:spacing w:line="600" w:lineRule="exact"/>
        <w:ind w:firstLine="640" w:firstLineChars="200"/>
        <w:rPr>
          <w:rFonts w:hint="eastAsia" w:ascii="仿宋_GB2312" w:hAnsi="仿宋_GB2312" w:eastAsia="仿宋_GB2312" w:cs="仿宋_GB2312"/>
          <w:color w:val="auto"/>
          <w:sz w:val="32"/>
          <w:szCs w:val="32"/>
          <w:u w:val="none"/>
        </w:rPr>
      </w:pPr>
      <w:r>
        <w:rPr>
          <w:rFonts w:hint="eastAsia" w:ascii="黑体" w:hAnsi="黑体" w:eastAsia="黑体" w:cs="黑体"/>
          <w:b w:val="0"/>
          <w:bCs w:val="0"/>
          <w:color w:val="000000"/>
          <w:kern w:val="2"/>
          <w:sz w:val="32"/>
          <w:szCs w:val="32"/>
          <w:u w:val="none"/>
          <w:lang w:val="en-US" w:eastAsia="zh-CN" w:bidi="ar-SA"/>
        </w:rPr>
        <w:t>第十六条</w:t>
      </w:r>
      <w:r>
        <w:rPr>
          <w:rFonts w:hint="eastAsia" w:ascii="仿宋" w:hAnsi="仿宋" w:eastAsia="仿宋"/>
          <w:b/>
          <w:color w:val="auto"/>
          <w:sz w:val="32"/>
          <w:szCs w:val="32"/>
          <w:u w:val="none"/>
        </w:rPr>
        <w:t>　</w:t>
      </w:r>
      <w:r>
        <w:rPr>
          <w:rFonts w:hint="eastAsia" w:ascii="仿宋_GB2312" w:hAnsi="仿宋_GB2312" w:eastAsia="仿宋_GB2312" w:cs="仿宋_GB2312"/>
          <w:color w:val="auto"/>
          <w:sz w:val="32"/>
          <w:szCs w:val="32"/>
          <w:u w:val="none"/>
        </w:rPr>
        <w:t>本</w:t>
      </w:r>
      <w:r>
        <w:rPr>
          <w:rFonts w:hint="eastAsia" w:ascii="仿宋_GB2312" w:hAnsi="仿宋_GB2312" w:eastAsia="仿宋_GB2312" w:cs="仿宋_GB2312"/>
          <w:color w:val="auto"/>
          <w:sz w:val="32"/>
          <w:szCs w:val="32"/>
          <w:u w:val="none"/>
          <w:lang w:val="en-US" w:eastAsia="zh-CN"/>
        </w:rPr>
        <w:t>实施细则</w:t>
      </w:r>
      <w:r>
        <w:rPr>
          <w:rFonts w:hint="eastAsia" w:ascii="仿宋_GB2312" w:hAnsi="仿宋_GB2312" w:eastAsia="仿宋_GB2312" w:cs="仿宋_GB2312"/>
          <w:color w:val="auto"/>
          <w:sz w:val="32"/>
          <w:szCs w:val="32"/>
          <w:u w:val="none"/>
        </w:rPr>
        <w:t>自</w:t>
      </w:r>
      <w:r>
        <w:rPr>
          <w:rFonts w:hint="eastAsia" w:ascii="仿宋_GB2312" w:hAnsi="仿宋_GB2312" w:eastAsia="仿宋_GB2312" w:cs="仿宋_GB2312"/>
          <w:color w:val="auto"/>
          <w:sz w:val="32"/>
          <w:szCs w:val="32"/>
          <w:u w:val="none"/>
          <w:lang w:val="en-US" w:eastAsia="zh-CN"/>
        </w:rPr>
        <w:t>2019年10月31日</w:t>
      </w:r>
      <w:r>
        <w:rPr>
          <w:rFonts w:hint="eastAsia" w:ascii="仿宋_GB2312" w:hAnsi="仿宋_GB2312" w:eastAsia="仿宋_GB2312" w:cs="仿宋_GB2312"/>
          <w:color w:val="auto"/>
          <w:sz w:val="32"/>
          <w:szCs w:val="32"/>
          <w:u w:val="none"/>
        </w:rPr>
        <w:t>起施行。</w:t>
      </w:r>
    </w:p>
    <w:p>
      <w:pPr>
        <w:numPr>
          <w:ilvl w:val="0"/>
          <w:numId w:val="0"/>
        </w:numPr>
        <w:spacing w:line="600" w:lineRule="exact"/>
        <w:ind w:firstLine="640" w:firstLineChars="200"/>
        <w:rPr>
          <w:rFonts w:hint="eastAsia" w:ascii="仿宋_GB2312" w:hAnsi="仿宋_GB2312" w:eastAsia="仿宋_GB2312" w:cs="仿宋_GB2312"/>
          <w:color w:val="auto"/>
          <w:sz w:val="32"/>
          <w:szCs w:val="32"/>
          <w:u w:val="none"/>
        </w:rPr>
      </w:pPr>
    </w:p>
    <w:p>
      <w:pPr>
        <w:numPr>
          <w:ilvl w:val="0"/>
          <w:numId w:val="0"/>
        </w:numPr>
        <w:spacing w:line="600" w:lineRule="exact"/>
        <w:ind w:firstLine="640" w:firstLineChars="200"/>
        <w:rPr>
          <w:rFonts w:hint="eastAsia" w:ascii="仿宋_GB2312" w:hAnsi="仿宋_GB2312" w:eastAsia="仿宋_GB2312" w:cs="仿宋_GB2312"/>
          <w:color w:val="auto"/>
          <w:sz w:val="32"/>
          <w:szCs w:val="32"/>
          <w:u w:val="none"/>
        </w:rPr>
      </w:pPr>
    </w:p>
    <w:p>
      <w:pPr>
        <w:numPr>
          <w:ilvl w:val="0"/>
          <w:numId w:val="0"/>
        </w:numPr>
        <w:spacing w:line="600" w:lineRule="exact"/>
        <w:ind w:firstLine="640" w:firstLineChars="200"/>
        <w:rPr>
          <w:rFonts w:hint="eastAsia" w:ascii="仿宋_GB2312" w:hAnsi="仿宋_GB2312" w:eastAsia="仿宋_GB2312" w:cs="仿宋_GB2312"/>
          <w:color w:val="auto"/>
          <w:sz w:val="32"/>
          <w:szCs w:val="32"/>
          <w:u w:val="none"/>
        </w:rPr>
      </w:pPr>
    </w:p>
    <w:p>
      <w:pPr>
        <w:numPr>
          <w:ilvl w:val="0"/>
          <w:numId w:val="0"/>
        </w:numPr>
        <w:spacing w:line="600" w:lineRule="exact"/>
        <w:ind w:firstLine="640" w:firstLineChars="200"/>
        <w:rPr>
          <w:rFonts w:hint="eastAsia" w:ascii="仿宋_GB2312" w:hAnsi="仿宋_GB2312" w:eastAsia="仿宋_GB2312" w:cs="仿宋_GB2312"/>
          <w:color w:val="auto"/>
          <w:sz w:val="32"/>
          <w:szCs w:val="32"/>
          <w:u w:val="none"/>
        </w:rPr>
      </w:pPr>
    </w:p>
    <w:p>
      <w:pPr>
        <w:numPr>
          <w:ilvl w:val="0"/>
          <w:numId w:val="0"/>
        </w:numPr>
        <w:spacing w:line="600" w:lineRule="exact"/>
        <w:ind w:firstLine="640" w:firstLineChars="200"/>
        <w:rPr>
          <w:rFonts w:hint="eastAsia" w:ascii="仿宋_GB2312" w:hAnsi="仿宋_GB2312" w:eastAsia="仿宋_GB2312" w:cs="仿宋_GB2312"/>
          <w:color w:val="auto"/>
          <w:sz w:val="32"/>
          <w:szCs w:val="32"/>
          <w:u w:val="none"/>
        </w:rPr>
      </w:pPr>
    </w:p>
    <w:p>
      <w:pPr>
        <w:numPr>
          <w:ilvl w:val="0"/>
          <w:numId w:val="0"/>
        </w:numPr>
        <w:spacing w:line="600" w:lineRule="exact"/>
        <w:ind w:firstLine="640" w:firstLineChars="200"/>
        <w:rPr>
          <w:rFonts w:hint="eastAsia" w:ascii="仿宋_GB2312" w:hAnsi="仿宋_GB2312" w:eastAsia="仿宋_GB2312" w:cs="仿宋_GB2312"/>
          <w:color w:val="auto"/>
          <w:sz w:val="32"/>
          <w:szCs w:val="32"/>
          <w:u w:val="none"/>
        </w:rPr>
      </w:pPr>
    </w:p>
    <w:p>
      <w:pPr>
        <w:numPr>
          <w:ilvl w:val="0"/>
          <w:numId w:val="0"/>
        </w:numPr>
        <w:spacing w:line="600" w:lineRule="exact"/>
        <w:ind w:firstLine="640" w:firstLineChars="200"/>
        <w:rPr>
          <w:rFonts w:hint="eastAsia" w:ascii="仿宋_GB2312" w:hAnsi="仿宋_GB2312" w:eastAsia="仿宋_GB2312" w:cs="仿宋_GB2312"/>
          <w:color w:val="auto"/>
          <w:sz w:val="32"/>
          <w:szCs w:val="32"/>
          <w:u w:val="none"/>
        </w:rPr>
      </w:pPr>
    </w:p>
    <w:p>
      <w:pPr>
        <w:numPr>
          <w:ilvl w:val="0"/>
          <w:numId w:val="0"/>
        </w:numPr>
        <w:spacing w:line="600" w:lineRule="exact"/>
        <w:ind w:firstLine="640" w:firstLineChars="200"/>
        <w:rPr>
          <w:rFonts w:hint="eastAsia" w:ascii="仿宋_GB2312" w:hAnsi="仿宋_GB2312" w:eastAsia="仿宋_GB2312" w:cs="仿宋_GB2312"/>
          <w:color w:val="auto"/>
          <w:sz w:val="32"/>
          <w:szCs w:val="32"/>
          <w:u w:val="none"/>
        </w:rPr>
      </w:pPr>
    </w:p>
    <w:p>
      <w:pPr>
        <w:numPr>
          <w:ilvl w:val="0"/>
          <w:numId w:val="0"/>
        </w:numPr>
        <w:spacing w:line="600" w:lineRule="exact"/>
        <w:ind w:firstLine="640" w:firstLineChars="200"/>
        <w:rPr>
          <w:rFonts w:hint="eastAsia" w:ascii="仿宋_GB2312" w:hAnsi="仿宋_GB2312" w:eastAsia="仿宋_GB2312" w:cs="仿宋_GB2312"/>
          <w:color w:val="auto"/>
          <w:sz w:val="32"/>
          <w:szCs w:val="32"/>
          <w:u w:val="none"/>
        </w:rPr>
      </w:pPr>
    </w:p>
    <w:p>
      <w:pPr>
        <w:numPr>
          <w:ilvl w:val="0"/>
          <w:numId w:val="0"/>
        </w:numPr>
        <w:spacing w:line="600" w:lineRule="exact"/>
        <w:ind w:firstLine="640" w:firstLineChars="200"/>
        <w:rPr>
          <w:rFonts w:hint="eastAsia" w:ascii="仿宋_GB2312" w:hAnsi="仿宋_GB2312" w:eastAsia="仿宋_GB2312" w:cs="仿宋_GB2312"/>
          <w:color w:val="auto"/>
          <w:sz w:val="32"/>
          <w:szCs w:val="32"/>
          <w:u w:val="none"/>
        </w:rPr>
      </w:pPr>
      <w:bookmarkStart w:id="0" w:name="_GoBack"/>
      <w:bookmarkEnd w:id="0"/>
    </w:p>
    <w:p>
      <w:pPr>
        <w:numPr>
          <w:ilvl w:val="0"/>
          <w:numId w:val="0"/>
        </w:numPr>
        <w:spacing w:line="600" w:lineRule="exact"/>
        <w:ind w:firstLine="640" w:firstLineChars="200"/>
        <w:rPr>
          <w:rFonts w:hint="eastAsia" w:ascii="仿宋_GB2312" w:hAnsi="仿宋_GB2312" w:eastAsia="仿宋_GB2312" w:cs="仿宋_GB2312"/>
          <w:color w:val="auto"/>
          <w:sz w:val="32"/>
          <w:szCs w:val="32"/>
          <w:u w:val="none"/>
        </w:rPr>
      </w:pPr>
    </w:p>
    <w:p>
      <w:pPr>
        <w:pBdr>
          <w:top w:val="single" w:color="auto" w:sz="8" w:space="1"/>
        </w:pBdr>
        <w:adjustRightInd w:val="0"/>
        <w:snapToGrid w:val="0"/>
        <w:ind w:firstLine="280" w:firstLineChars="100"/>
        <w:rPr>
          <w:rFonts w:ascii="仿宋" w:hAnsi="仿宋" w:eastAsia="仿宋"/>
          <w:sz w:val="28"/>
          <w:szCs w:val="28"/>
        </w:rPr>
      </w:pPr>
      <w:r>
        <w:rPr>
          <w:rFonts w:hint="eastAsia" w:ascii="仿宋" w:hAnsi="仿宋" w:eastAsia="仿宋"/>
          <w:sz w:val="28"/>
          <w:szCs w:val="28"/>
        </w:rPr>
        <w:t>抄送：</w:t>
      </w:r>
      <w:r>
        <w:rPr>
          <w:rFonts w:hint="eastAsia" w:ascii="仿宋" w:hAnsi="仿宋" w:eastAsia="仿宋"/>
          <w:sz w:val="28"/>
          <w:szCs w:val="28"/>
          <w:lang w:eastAsia="zh-CN"/>
        </w:rPr>
        <w:t>住房城乡建设部标准定额司，省发展改革委、省财政厅。</w:t>
      </w:r>
    </w:p>
    <w:p>
      <w:pPr>
        <w:pBdr>
          <w:top w:val="single" w:color="auto" w:sz="4" w:space="1"/>
          <w:bottom w:val="single" w:color="auto" w:sz="8" w:space="1"/>
        </w:pBdr>
        <w:adjustRightInd w:val="0"/>
        <w:snapToGrid w:val="0"/>
        <w:ind w:firstLine="280" w:firstLineChars="100"/>
      </w:pPr>
      <w:r>
        <w:rPr>
          <w:rFonts w:hint="eastAsia" w:ascii="仿宋" w:hAnsi="仿宋" w:eastAsia="仿宋"/>
          <w:sz w:val="28"/>
          <w:szCs w:val="28"/>
        </w:rPr>
        <w:t>云南省住房和城乡建设厅办公室         20</w:t>
      </w:r>
      <w:r>
        <w:rPr>
          <w:rFonts w:hint="eastAsia" w:ascii="仿宋" w:hAnsi="仿宋" w:eastAsia="仿宋"/>
          <w:sz w:val="28"/>
          <w:szCs w:val="28"/>
          <w:lang w:val="en-US" w:eastAsia="zh-CN"/>
        </w:rPr>
        <w:t>19</w:t>
      </w:r>
      <w:r>
        <w:rPr>
          <w:rFonts w:hint="eastAsia" w:ascii="仿宋" w:hAnsi="仿宋" w:eastAsia="仿宋"/>
          <w:sz w:val="28"/>
          <w:szCs w:val="28"/>
        </w:rPr>
        <w:t>年</w:t>
      </w:r>
      <w:r>
        <w:rPr>
          <w:rFonts w:hint="eastAsia" w:ascii="仿宋" w:hAnsi="仿宋" w:eastAsia="仿宋"/>
          <w:sz w:val="28"/>
          <w:szCs w:val="28"/>
          <w:lang w:val="en-US" w:eastAsia="zh-CN"/>
        </w:rPr>
        <w:t>10</w:t>
      </w:r>
      <w:r>
        <w:rPr>
          <w:rFonts w:hint="eastAsia" w:ascii="仿宋" w:hAnsi="仿宋" w:eastAsia="仿宋"/>
          <w:sz w:val="28"/>
          <w:szCs w:val="28"/>
        </w:rPr>
        <w:t>月</w:t>
      </w:r>
      <w:r>
        <w:rPr>
          <w:rFonts w:hint="eastAsia" w:ascii="仿宋" w:hAnsi="仿宋" w:eastAsia="仿宋"/>
          <w:sz w:val="28"/>
          <w:szCs w:val="28"/>
          <w:lang w:val="en-US" w:eastAsia="zh-CN"/>
        </w:rPr>
        <w:t>31</w:t>
      </w:r>
      <w:r>
        <w:rPr>
          <w:rFonts w:hint="eastAsia" w:ascii="仿宋" w:hAnsi="仿宋" w:eastAsia="仿宋"/>
          <w:sz w:val="28"/>
          <w:szCs w:val="28"/>
        </w:rPr>
        <w:t>日印发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F020A"/>
    <w:multiLevelType w:val="singleLevel"/>
    <w:tmpl w:val="5D7F020A"/>
    <w:lvl w:ilvl="0" w:tentative="0">
      <w:start w:val="15"/>
      <w:numFmt w:val="chineseCounting"/>
      <w:suff w:val="space"/>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937FDB"/>
    <w:rsid w:val="0A8D3312"/>
    <w:rsid w:val="53937F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paragraph" w:customStyle="1" w:styleId="6">
    <w:name w:val="列出段落1"/>
    <w:basedOn w:val="1"/>
    <w:qFormat/>
    <w:uiPriority w:val="0"/>
    <w:pPr>
      <w:ind w:firstLine="420" w:firstLineChars="200"/>
    </w:pPr>
  </w:style>
  <w:style w:type="paragraph" w:customStyle="1" w:styleId="7">
    <w:name w:val="列出段落11"/>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2019-11-12T07:23:00Z</dcterms:created>
  <dc:creator>棉花糖</dc:creator>
  <cp:lastModifiedBy>棉花糖</cp:lastModifiedBy>
  <dcterms:modified xsi:type="dcterms:W3CDTF">2019-11-12T08:50:35Z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