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inorEastAsia" w:hAnsiTheme="minorEastAsia"/>
          <w:b/>
          <w:sz w:val="56"/>
          <w:szCs w:val="48"/>
        </w:rPr>
      </w:pPr>
      <w:r>
        <w:rPr>
          <w:rFonts w:hint="eastAsia" w:asciiTheme="minorEastAsia" w:hAnsiTheme="minorEastAsia"/>
          <w:b/>
          <w:sz w:val="56"/>
          <w:szCs w:val="48"/>
        </w:rPr>
        <w:t>《建筑工程叠层橡胶隔震支座性能要求和检验规范》</w:t>
      </w:r>
      <w:bookmarkStart w:id="4" w:name="_GoBack"/>
      <w:bookmarkEnd w:id="4"/>
      <w:r>
        <w:rPr>
          <w:rFonts w:hint="eastAsia" w:asciiTheme="minorEastAsia" w:hAnsiTheme="minorEastAsia"/>
          <w:b/>
          <w:sz w:val="56"/>
          <w:szCs w:val="48"/>
          <w:lang w:eastAsia="zh-CN"/>
        </w:rPr>
        <w:t>修订</w:t>
      </w:r>
      <w:r>
        <w:rPr>
          <w:rFonts w:hint="eastAsia" w:asciiTheme="minorEastAsia" w:hAnsiTheme="minorEastAsia"/>
          <w:b/>
          <w:sz w:val="56"/>
          <w:szCs w:val="48"/>
        </w:rPr>
        <w:t>对照表</w:t>
      </w:r>
    </w:p>
    <w:tbl>
      <w:tblPr>
        <w:tblStyle w:val="10"/>
        <w:tblW w:w="27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7887"/>
        <w:gridCol w:w="2567"/>
        <w:gridCol w:w="3386"/>
        <w:gridCol w:w="10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 xml:space="preserve"> 序号</w:t>
            </w:r>
          </w:p>
        </w:tc>
        <w:tc>
          <w:tcPr>
            <w:tcW w:w="7887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原文</w:t>
            </w:r>
          </w:p>
        </w:tc>
        <w:tc>
          <w:tcPr>
            <w:tcW w:w="2567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修改</w:t>
            </w:r>
          </w:p>
        </w:tc>
        <w:tc>
          <w:tcPr>
            <w:tcW w:w="3386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原因</w:t>
            </w:r>
          </w:p>
        </w:tc>
        <w:tc>
          <w:tcPr>
            <w:tcW w:w="10266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修订后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pStyle w:val="15"/>
              <w:jc w:val="center"/>
              <w:rPr>
                <w:rFonts w:asciiTheme="minorEastAsia" w:hAnsiTheme="minorEastAsia"/>
                <w:sz w:val="40"/>
              </w:rPr>
            </w:pPr>
            <w:r>
              <w:rPr>
                <w:rFonts w:hint="eastAsia" w:asciiTheme="minorEastAsia" w:hAnsiTheme="minorEastAsia"/>
                <w:sz w:val="40"/>
              </w:rPr>
              <w:t>3/3.0.1</w:t>
            </w:r>
          </w:p>
        </w:tc>
        <w:tc>
          <w:tcPr>
            <w:tcW w:w="7887" w:type="dxa"/>
          </w:tcPr>
          <w:p>
            <w:pPr>
              <w:autoSpaceDE w:val="0"/>
              <w:autoSpaceDN w:val="0"/>
              <w:spacing w:line="400" w:lineRule="atLeast"/>
              <w:jc w:val="lef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（1）增加支座示意图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386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340" w:after="330" w:line="360" w:lineRule="auto"/>
              <w:jc w:val="center"/>
              <w:textAlignment w:val="baseline"/>
              <w:outlineLvl w:val="0"/>
              <w:rPr>
                <w:rFonts w:cs="Times New Roman" w:asciiTheme="minorEastAsia" w:hAnsiTheme="minorEastAsia"/>
                <w:kern w:val="44"/>
                <w:sz w:val="32"/>
                <w:szCs w:val="20"/>
              </w:rPr>
            </w:pPr>
            <w:r>
              <w:rPr>
                <w:rFonts w:hint="eastAsia" w:asciiTheme="minorEastAsia" w:hAnsiTheme="minorEastAsia"/>
                <w:sz w:val="28"/>
              </w:rPr>
              <w:t>增加产品识别度，提高标准实用性,增加支座示意图。</w:t>
            </w:r>
          </w:p>
        </w:tc>
        <w:tc>
          <w:tcPr>
            <w:tcW w:w="10266" w:type="dxa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340" w:after="330" w:line="360" w:lineRule="auto"/>
              <w:jc w:val="center"/>
              <w:textAlignment w:val="baseline"/>
              <w:outlineLvl w:val="0"/>
              <w:rPr>
                <w:rFonts w:cs="Times New Roman" w:asciiTheme="minorEastAsia" w:hAnsiTheme="minorEastAsia"/>
                <w:kern w:val="44"/>
                <w:sz w:val="32"/>
                <w:szCs w:val="20"/>
              </w:rPr>
            </w:pPr>
            <w:bookmarkStart w:id="0" w:name="_Toc32659"/>
            <w:r>
              <w:rPr>
                <w:rFonts w:cs="Times New Roman" w:asciiTheme="minorEastAsia" w:hAnsiTheme="minorEastAsia"/>
                <w:kern w:val="44"/>
                <w:sz w:val="32"/>
                <w:szCs w:val="20"/>
              </w:rPr>
              <w:t xml:space="preserve">3  </w:t>
            </w:r>
            <w:r>
              <w:rPr>
                <w:rFonts w:hint="eastAsia" w:cs="Times New Roman" w:asciiTheme="minorEastAsia" w:hAnsiTheme="minorEastAsia"/>
                <w:kern w:val="44"/>
                <w:sz w:val="32"/>
                <w:szCs w:val="20"/>
              </w:rPr>
              <w:t>支座分类</w:t>
            </w:r>
            <w:bookmarkEnd w:id="0"/>
          </w:p>
          <w:p>
            <w:pPr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hint="eastAsia" w:cs="Times New Roman" w:asciiTheme="minorEastAsia" w:hAnsiTheme="minorEastAsia"/>
                <w:szCs w:val="24"/>
              </w:rPr>
              <w:t>3.0.1支座示意图如图3.0.1所示。</w:t>
            </w:r>
          </w:p>
          <w:p>
            <w:pPr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szCs w:val="24"/>
              </w:rPr>
              <w:drawing>
                <wp:inline distT="0" distB="0" distL="0" distR="0">
                  <wp:extent cx="5546090" cy="3515360"/>
                  <wp:effectExtent l="0" t="0" r="0" b="889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090" cy="351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spacing w:line="300" w:lineRule="auto"/>
              <w:jc w:val="center"/>
              <w:outlineLvl w:val="2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hint="eastAsia" w:cs="Times New Roman" w:asciiTheme="minorEastAsia" w:hAnsiTheme="minorEastAsia"/>
                <w:szCs w:val="24"/>
              </w:rPr>
              <w:t>图</w:t>
            </w:r>
            <w:r>
              <w:rPr>
                <w:rFonts w:cs="Times New Roman" w:asciiTheme="minorEastAsia" w:hAnsiTheme="minorEastAsia"/>
                <w:szCs w:val="24"/>
              </w:rPr>
              <w:t xml:space="preserve">3.0.1  </w:t>
            </w:r>
            <w:r>
              <w:rPr>
                <w:rFonts w:hint="eastAsia" w:cs="Times New Roman" w:asciiTheme="minorEastAsia" w:hAnsiTheme="minorEastAsia"/>
                <w:szCs w:val="24"/>
              </w:rPr>
              <w:t>支座示意图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pStyle w:val="15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sz w:val="40"/>
              </w:rPr>
              <w:t>3.0.2</w:t>
            </w:r>
          </w:p>
        </w:tc>
        <w:tc>
          <w:tcPr>
            <w:tcW w:w="7887" w:type="dxa"/>
          </w:tcPr>
          <w:p>
            <w:pPr>
              <w:tabs>
                <w:tab w:val="left" w:pos="3580"/>
              </w:tabs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ab/>
            </w:r>
          </w:p>
          <w:p>
            <w:pPr>
              <w:tabs>
                <w:tab w:val="left" w:pos="3580"/>
              </w:tabs>
              <w:rPr>
                <w:rFonts w:asciiTheme="minorEastAsia" w:hAnsiTheme="minorEastAsia"/>
                <w:b/>
                <w:sz w:val="28"/>
              </w:rPr>
            </w:pPr>
          </w:p>
          <w:p>
            <w:pPr>
              <w:tabs>
                <w:tab w:val="left" w:pos="3580"/>
              </w:tabs>
              <w:rPr>
                <w:rFonts w:asciiTheme="minorEastAsia" w:hAnsiTheme="minorEastAsia"/>
                <w:b/>
                <w:sz w:val="28"/>
              </w:rPr>
            </w:pPr>
          </w:p>
          <w:p>
            <w:pPr>
              <w:tabs>
                <w:tab w:val="left" w:pos="3580"/>
              </w:tabs>
              <w:rPr>
                <w:rFonts w:asciiTheme="minorEastAsia" w:hAnsiTheme="minorEastAsia"/>
                <w:b/>
                <w:sz w:val="28"/>
              </w:rPr>
            </w:pPr>
          </w:p>
          <w:p>
            <w:pPr>
              <w:numPr>
                <w:ilvl w:val="2"/>
                <w:numId w:val="1"/>
              </w:numPr>
              <w:snapToGrid w:val="0"/>
              <w:spacing w:line="240" w:lineRule="atLeast"/>
              <w:outlineLvl w:val="2"/>
              <w:rPr>
                <w:rFonts w:cs="Times New Roman" w:asciiTheme="minorEastAsia" w:hAnsiTheme="minorEastAsia"/>
                <w:sz w:val="28"/>
                <w:szCs w:val="28"/>
              </w:rPr>
            </w:pPr>
            <w:bookmarkStart w:id="1" w:name="_Ref334081411"/>
            <w:r>
              <w:rPr>
                <w:rFonts w:hint="eastAsia" w:cs="宋体" w:asciiTheme="minorEastAsia" w:hAnsiTheme="minorEastAsia"/>
                <w:sz w:val="28"/>
                <w:szCs w:val="28"/>
              </w:rPr>
              <w:t>支座按构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造可分为Ⅰ、Ⅱ、Ⅲ三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种类型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，如表</w:t>
            </w:r>
            <w:r>
              <w:fldChar w:fldCharType="begin"/>
            </w:r>
            <w:r>
              <w:instrText xml:space="preserve"> REF _Ref334081411 \r \h  \* MERGEFORMAT </w:instrText>
            </w:r>
            <w:r>
              <w:fldChar w:fldCharType="separate"/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3.0.1</w:t>
            </w:r>
            <w:r>
              <w:fldChar w:fldCharType="end"/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所示。</w:t>
            </w:r>
            <w:bookmarkEnd w:id="1"/>
          </w:p>
          <w:p>
            <w:pPr>
              <w:keepNext/>
              <w:autoSpaceDE w:val="0"/>
              <w:autoSpaceDN w:val="0"/>
              <w:snapToGrid w:val="0"/>
              <w:spacing w:line="300" w:lineRule="auto"/>
              <w:jc w:val="center"/>
              <w:rPr>
                <w:rFonts w:cs="Times New Roman" w:asciiTheme="minorEastAsia" w:hAnsiTheme="minorEastAsia"/>
                <w:bCs/>
                <w:spacing w:val="-2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spacing w:val="-2"/>
                <w:kern w:val="0"/>
                <w:szCs w:val="21"/>
              </w:rPr>
              <w:t>表</w:t>
            </w:r>
            <w:r>
              <w:fldChar w:fldCharType="begin"/>
            </w:r>
            <w:r>
              <w:instrText xml:space="preserve"> REF _Ref334081411 \r \h  \* MERGEFORMAT </w:instrText>
            </w:r>
            <w:r>
              <w:fldChar w:fldCharType="separate"/>
            </w:r>
            <w:r>
              <w:rPr>
                <w:rFonts w:cs="Times New Roman" w:asciiTheme="minorEastAsia" w:hAnsiTheme="minorEastAsia"/>
                <w:spacing w:val="-4"/>
                <w:szCs w:val="24"/>
              </w:rPr>
              <w:t>3.0.1</w:t>
            </w:r>
            <w:r>
              <w:fldChar w:fldCharType="end"/>
            </w:r>
            <w:r>
              <w:rPr>
                <w:rFonts w:cs="Times New Roman" w:asciiTheme="minorEastAsia" w:hAnsiTheme="minorEastAsia"/>
                <w:bCs/>
                <w:spacing w:val="-2"/>
                <w:kern w:val="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pacing w:val="-4"/>
                <w:szCs w:val="24"/>
              </w:rPr>
              <w:t>支座</w:t>
            </w:r>
            <w:r>
              <w:rPr>
                <w:rFonts w:cs="Times New Roman" w:asciiTheme="minorEastAsia" w:hAnsiTheme="minorEastAsia"/>
                <w:bCs/>
                <w:spacing w:val="-2"/>
                <w:kern w:val="0"/>
                <w:szCs w:val="21"/>
              </w:rPr>
              <w:t>按构造分类</w:t>
            </w:r>
          </w:p>
          <w:tbl>
            <w:tblPr>
              <w:tblStyle w:val="9"/>
              <w:tblW w:w="8747" w:type="dxa"/>
              <w:tblInd w:w="0" w:type="dxa"/>
              <w:tblBorders>
                <w:top w:val="single" w:color="auto" w:sz="24" w:space="0"/>
                <w:left w:val="single" w:color="auto" w:sz="24" w:space="0"/>
                <w:bottom w:val="single" w:color="auto" w:sz="24" w:space="0"/>
                <w:right w:val="single" w:color="auto" w:sz="2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8"/>
              <w:gridCol w:w="2047"/>
              <w:gridCol w:w="5312"/>
            </w:tblGrid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461" w:hRule="atLeast"/>
              </w:trPr>
              <w:tc>
                <w:tcPr>
                  <w:tcW w:w="1388" w:type="dxa"/>
                  <w:vMerge w:val="restart"/>
                  <w:vAlign w:val="center"/>
                </w:tcPr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cs="Times New Roman" w:asciiTheme="minorEastAsia" w:hAnsiTheme="minorEastAsia"/>
                      <w:b/>
                      <w:szCs w:val="24"/>
                    </w:rPr>
                  </w:pPr>
                  <w:r>
                    <w:rPr>
                      <w:rFonts w:hint="eastAsia" w:cs="Times New Roman" w:asciiTheme="minorEastAsia" w:hAnsiTheme="minorEastAsia"/>
                      <w:b/>
                      <w:szCs w:val="24"/>
                    </w:rPr>
                    <w:t>Ⅰ型</w:t>
                  </w:r>
                </w:p>
              </w:tc>
              <w:tc>
                <w:tcPr>
                  <w:tcW w:w="2047" w:type="dxa"/>
                  <w:vAlign w:val="center"/>
                </w:tcPr>
                <w:p>
                  <w:pPr>
                    <w:rPr>
                      <w:rFonts w:cs="Times New Roman" w:asciiTheme="minorEastAsia" w:hAnsiTheme="minorEastAsia"/>
                      <w:sz w:val="15"/>
                      <w:szCs w:val="24"/>
                    </w:rPr>
                  </w:pPr>
                  <w:r>
                    <w:rPr>
                      <w:rFonts w:hint="eastAsia" w:cs="Times New Roman" w:asciiTheme="minorEastAsia" w:hAnsiTheme="minorEastAsia"/>
                      <w:sz w:val="15"/>
                      <w:szCs w:val="24"/>
                    </w:rPr>
                    <w:t>连接板和封板用螺栓连接。封板与内部橡胶黏合，橡胶保护层在支座硫化前包裹</w:t>
                  </w:r>
                </w:p>
              </w:tc>
              <w:tc>
                <w:tcPr>
                  <w:tcW w:w="5312" w:type="dxa"/>
                </w:tcPr>
                <w:p>
                  <w:pPr>
                    <w:snapToGrid w:val="0"/>
                    <w:spacing w:line="300" w:lineRule="auto"/>
                    <w:outlineLvl w:val="2"/>
                    <w:rPr>
                      <w:rFonts w:cs="Times New Roman" w:asciiTheme="minorEastAsia" w:hAnsiTheme="minorEastAsia"/>
                      <w:szCs w:val="24"/>
                    </w:rPr>
                  </w:pPr>
                  <w:r>
                    <w:rPr>
                      <w:rFonts w:cs="Times New Roman" w:asciiTheme="minorEastAsia" w:hAnsiTheme="minorEastAsia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1707515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487045" cy="221615"/>
                            <wp:effectExtent l="0" t="0" r="8255" b="6985"/>
                            <wp:wrapNone/>
                            <wp:docPr id="16" name="矩形标注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7045" cy="221615"/>
                                    </a:xfrm>
                                    <a:prstGeom prst="wedgeRectCallout">
                                      <a:avLst>
                                        <a:gd name="adj1" fmla="val -24236"/>
                                        <a:gd name="adj2" fmla="val 4656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5"/>
                                          </w:rPr>
                                          <w:t>连接板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61" type="#_x0000_t61" style="position:absolute;left:0pt;margin-left:134.45pt;margin-top:3.15pt;height:17.45pt;width:38.35pt;z-index:251661312;mso-width-relative:page;mso-height-relative:page;" fillcolor="#FFFFFF" filled="t" stroked="f" coordsize="21600,21600" o:gfxdata="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KBib9kAAAAIAQAADwAAAAAAAAABACAA&#10;AAAiAAAAZHJzL2Rvd25yZXYueG1sUEsBAhQAFAAAAAgAh07iQJCeqy1FAgAAVgQAAA4AAAAAAAAA&#10;AQAgAAAAKAEAAGRycy9lMm9Eb2MueG1sUEsFBgAAAAAGAAYAWQEAAN8FAAAAAA==&#10;" adj="5565,20857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连接板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cs="宋体" w:asciiTheme="minorEastAsia" w:hAnsiTheme="minorEastAsia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2279015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487045" cy="221615"/>
                            <wp:effectExtent l="0" t="0" r="8255" b="6985"/>
                            <wp:wrapNone/>
                            <wp:docPr id="15" name="矩形标注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7045" cy="221615"/>
                                    </a:xfrm>
                                    <a:prstGeom prst="wedgeRectCallout">
                                      <a:avLst>
                                        <a:gd name="adj1" fmla="val -24236"/>
                                        <a:gd name="adj2" fmla="val 4656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5"/>
                                          </w:rPr>
                                          <w:t>螺栓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61" type="#_x0000_t61" style="position:absolute;left:0pt;margin-left:179.45pt;margin-top:3.15pt;height:17.45pt;width:38.35pt;z-index:251660288;mso-width-relative:page;mso-height-relative:page;" fillcolor="#FFFFFF" filled="t" stroked="f" coordsize="21600,21600" o:gfxdata="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+UkaNoAAAAIAQAADwAAAAAAAAABACAA&#10;AAAiAAAAZHJzL2Rvd25yZXYueG1sUEsBAhQAFAAAAAgAh07iQFF03qZEAgAAVgQAAA4AAAAAAAAA&#10;AQAgAAAAKQEAAGRycy9lMm9Eb2MueG1sUEsFBgAAAAAGAAYAWQEAAN8FAAAAAA==&#10;" adj="5565,20857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螺栓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cs="Times New Roman" w:asciiTheme="minorEastAsia" w:hAnsiTheme="minorEastAsia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534670</wp:posOffset>
                            </wp:positionV>
                            <wp:extent cx="457200" cy="236855"/>
                            <wp:effectExtent l="0" t="0" r="0" b="10795"/>
                            <wp:wrapNone/>
                            <wp:docPr id="14" name="矩形标注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36855"/>
                                    </a:xfrm>
                                    <a:prstGeom prst="wedgeRectCallout">
                                      <a:avLst>
                                        <a:gd name="adj1" fmla="val -24236"/>
                                        <a:gd name="adj2" fmla="val 4656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5"/>
                                          </w:rPr>
                                          <w:t>封板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61" type="#_x0000_t61" style="position:absolute;left:0pt;margin-left:-0.75pt;margin-top:42.1pt;height:18.65pt;width:36pt;z-index:251662336;mso-width-relative:page;mso-height-relative:page;" fillcolor="#FFFFFF" filled="t" stroked="f" coordsize="21600,21600" o:gfxdata="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PKML21wAAAAgBAAAPAAAAAAAAAAEAIAAAACIAAABk&#10;cnMvZG93bnJldi54bWxQSwECFAAUAAAACACHTuJAvkwC9EACAABWBAAADgAAAAAAAAABACAAAAAm&#10;AQAAZHJzL2Uyb0RvYy54bWxQSwUGAAAAAAYABgBZAQAA2AUAAAAA&#10;" adj="5565,20857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封板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cs="宋体" w:asciiTheme="minorEastAsia" w:hAnsiTheme="minorEastAsia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2733675</wp:posOffset>
                            </wp:positionH>
                            <wp:positionV relativeFrom="paragraph">
                              <wp:posOffset>419735</wp:posOffset>
                            </wp:positionV>
                            <wp:extent cx="487045" cy="221615"/>
                            <wp:effectExtent l="0" t="0" r="8255" b="6985"/>
                            <wp:wrapNone/>
                            <wp:docPr id="13" name="矩形标注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7045" cy="221615"/>
                                    </a:xfrm>
                                    <a:prstGeom prst="wedgeRectCallout">
                                      <a:avLst>
                                        <a:gd name="adj1" fmla="val -24236"/>
                                        <a:gd name="adj2" fmla="val 4656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5"/>
                                          </w:rPr>
                                          <w:t>保护胶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61" type="#_x0000_t61" style="position:absolute;left:0pt;margin-left:215.25pt;margin-top:33.05pt;height:17.45pt;width:38.35pt;z-index:251659264;mso-width-relative:page;mso-height-relative:page;" fillcolor="#FFFFFF" filled="t" stroked="f" coordsize="21600,21600" o:gfxdata="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fa5MfbAAAACgEAAA8AAAAAAAAAAQAg&#10;AAAAIgAAAGRycy9kb3ducmV2LnhtbFBLAQIUABQAAAAIAIdO4kCSp0RrRAIAAFYEAAAOAAAAAAAA&#10;AAEAIAAAACoBAABkcnMvZTJvRG9jLnhtbFBLBQYAAAAABgAGAFkBAADgBQAAAAA=&#10;" adj="5565,20857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保护胶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 w:cs="Times New Roman" w:asciiTheme="minorEastAsia" w:hAnsiTheme="minorEastAsia"/>
                      <w:szCs w:val="24"/>
                    </w:rPr>
                    <w:drawing>
                      <wp:inline distT="0" distB="0" distL="0" distR="0">
                        <wp:extent cx="2814320" cy="1481455"/>
                        <wp:effectExtent l="0" t="0" r="5080" b="4445"/>
                        <wp:docPr id="12" name="图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图片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22" r="58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4563" cy="1481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3" w:hRule="atLeast"/>
              </w:trPr>
              <w:tc>
                <w:tcPr>
                  <w:tcW w:w="1388" w:type="dxa"/>
                  <w:vMerge w:val="continue"/>
                </w:tcPr>
                <w:p>
                  <w:pPr>
                    <w:snapToGrid w:val="0"/>
                    <w:spacing w:line="300" w:lineRule="auto"/>
                    <w:outlineLvl w:val="2"/>
                    <w:rPr>
                      <w:rFonts w:cs="Times New Roman"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>
                  <w:pPr>
                    <w:rPr>
                      <w:rFonts w:cs="Times New Roman" w:asciiTheme="minorEastAsia" w:hAnsiTheme="minorEastAsia"/>
                      <w:sz w:val="15"/>
                      <w:szCs w:val="24"/>
                    </w:rPr>
                  </w:pPr>
                  <w:r>
                    <w:rPr>
                      <w:rFonts w:hint="eastAsia" w:cs="Times New Roman" w:asciiTheme="minorEastAsia" w:hAnsiTheme="minorEastAsia"/>
                      <w:sz w:val="15"/>
                      <w:szCs w:val="24"/>
                    </w:rPr>
                    <w:t>连接板和封板用螺栓连接。封板与内部橡胶黏合，橡胶保护层在支座硫化后包裹</w:t>
                  </w:r>
                </w:p>
              </w:tc>
              <w:tc>
                <w:tcPr>
                  <w:tcW w:w="5312" w:type="dxa"/>
                </w:tcPr>
                <w:p>
                  <w:pPr>
                    <w:snapToGrid w:val="0"/>
                    <w:spacing w:line="300" w:lineRule="auto"/>
                    <w:outlineLvl w:val="2"/>
                    <w:rPr>
                      <w:rFonts w:cs="Times New Roman" w:asciiTheme="minorEastAsia" w:hAnsiTheme="minorEastAsia"/>
                      <w:szCs w:val="24"/>
                    </w:rPr>
                  </w:pPr>
                </w:p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cs="Times New Roman" w:asciiTheme="minorEastAsia" w:hAnsiTheme="minorEastAsia"/>
                      <w:szCs w:val="24"/>
                    </w:rPr>
                  </w:pPr>
                  <w:r>
                    <w:rPr>
                      <w:rFonts w:hint="eastAsia" w:cs="Times New Roman" w:asciiTheme="minorEastAsia" w:hAnsiTheme="minorEastAsia"/>
                      <w:szCs w:val="24"/>
                    </w:rPr>
                    <w:drawing>
                      <wp:inline distT="0" distB="0" distL="0" distR="0">
                        <wp:extent cx="2847975" cy="1223010"/>
                        <wp:effectExtent l="0" t="0" r="0" b="0"/>
                        <wp:docPr id="11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0397" cy="1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43" w:hRule="atLeast"/>
              </w:trPr>
              <w:tc>
                <w:tcPr>
                  <w:tcW w:w="1388" w:type="dxa"/>
                  <w:vAlign w:val="center"/>
                </w:tcPr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cs="Times New Roman" w:asciiTheme="minorEastAsia" w:hAnsiTheme="minorEastAsia"/>
                      <w:b/>
                      <w:szCs w:val="24"/>
                    </w:rPr>
                  </w:pPr>
                  <w:r>
                    <w:rPr>
                      <w:rFonts w:hint="eastAsia" w:cs="Times New Roman" w:asciiTheme="minorEastAsia" w:hAnsiTheme="minorEastAsia"/>
                      <w:b/>
                      <w:szCs w:val="24"/>
                    </w:rPr>
                    <w:t>Ⅱ型</w:t>
                  </w:r>
                </w:p>
              </w:tc>
              <w:tc>
                <w:tcPr>
                  <w:tcW w:w="2047" w:type="dxa"/>
                  <w:vAlign w:val="center"/>
                </w:tcPr>
                <w:p>
                  <w:pPr>
                    <w:rPr>
                      <w:rFonts w:cs="Times New Roman" w:asciiTheme="minorEastAsia" w:hAnsiTheme="minorEastAsia"/>
                      <w:sz w:val="15"/>
                      <w:szCs w:val="24"/>
                    </w:rPr>
                  </w:pPr>
                  <w:r>
                    <w:rPr>
                      <w:rFonts w:hint="eastAsia" w:cs="Times New Roman" w:asciiTheme="minorEastAsia" w:hAnsiTheme="minorEastAsia"/>
                      <w:sz w:val="15"/>
                      <w:szCs w:val="24"/>
                    </w:rPr>
                    <w:t>连接板直接与内部橡胶黏合</w:t>
                  </w:r>
                </w:p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cs="Times New Roman"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5312" w:type="dxa"/>
                </w:tcPr>
                <w:p>
                  <w:pPr>
                    <w:snapToGrid w:val="0"/>
                    <w:spacing w:line="300" w:lineRule="auto"/>
                    <w:outlineLvl w:val="2"/>
                    <w:rPr>
                      <w:rFonts w:cs="Times New Roman" w:asciiTheme="minorEastAsia" w:hAnsiTheme="minorEastAsia"/>
                      <w:szCs w:val="24"/>
                    </w:rPr>
                  </w:pPr>
                </w:p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cs="Times New Roman" w:asciiTheme="minorEastAsia" w:hAnsiTheme="minorEastAsia"/>
                      <w:szCs w:val="24"/>
                    </w:rPr>
                  </w:pPr>
                  <w:r>
                    <w:rPr>
                      <w:rFonts w:hint="eastAsia" w:cs="Times New Roman" w:asciiTheme="minorEastAsia" w:hAnsiTheme="minorEastAsia"/>
                      <w:szCs w:val="24"/>
                    </w:rPr>
                    <w:drawing>
                      <wp:inline distT="0" distB="0" distL="0" distR="0">
                        <wp:extent cx="3003550" cy="1175385"/>
                        <wp:effectExtent l="0" t="0" r="6350" b="5715"/>
                        <wp:docPr id="10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4185" cy="1175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2" w:hRule="atLeast"/>
              </w:trPr>
              <w:tc>
                <w:tcPr>
                  <w:tcW w:w="1388" w:type="dxa"/>
                  <w:vAlign w:val="center"/>
                </w:tcPr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cs="Times New Roman" w:asciiTheme="minorEastAsia" w:hAnsiTheme="minorEastAsia"/>
                      <w:b/>
                      <w:szCs w:val="24"/>
                    </w:rPr>
                  </w:pPr>
                  <w:r>
                    <w:rPr>
                      <w:rFonts w:hint="eastAsia" w:cs="Times New Roman" w:asciiTheme="minorEastAsia" w:hAnsiTheme="minorEastAsia"/>
                      <w:b/>
                      <w:szCs w:val="24"/>
                    </w:rPr>
                    <w:t>Ⅲ型</w:t>
                  </w:r>
                </w:p>
              </w:tc>
              <w:tc>
                <w:tcPr>
                  <w:tcW w:w="2047" w:type="dxa"/>
                  <w:vAlign w:val="center"/>
                </w:tcPr>
                <w:p>
                  <w:pPr>
                    <w:rPr>
                      <w:rFonts w:cs="Times New Roman" w:asciiTheme="minorEastAsia" w:hAnsiTheme="minorEastAsia"/>
                      <w:sz w:val="15"/>
                      <w:szCs w:val="24"/>
                    </w:rPr>
                  </w:pPr>
                  <w:r>
                    <w:rPr>
                      <w:rFonts w:hint="eastAsia" w:cs="Times New Roman" w:asciiTheme="minorEastAsia" w:hAnsiTheme="minorEastAsia"/>
                      <w:sz w:val="15"/>
                      <w:szCs w:val="24"/>
                    </w:rPr>
                    <w:t>支座与连接板用凹槽或暗销连接</w:t>
                  </w:r>
                </w:p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cs="Times New Roman"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5312" w:type="dxa"/>
                </w:tcPr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cs="Times New Roman" w:asciiTheme="minorEastAsia" w:hAnsiTheme="minorEastAsia"/>
                      <w:szCs w:val="24"/>
                    </w:rPr>
                  </w:pPr>
                </w:p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cs="Times New Roman" w:asciiTheme="minorEastAsia" w:hAnsiTheme="minorEastAsia"/>
                      <w:szCs w:val="24"/>
                    </w:rPr>
                  </w:pPr>
                  <w:r>
                    <w:rPr>
                      <w:rFonts w:hint="eastAsia" w:cs="Times New Roman" w:asciiTheme="minorEastAsia" w:hAnsiTheme="minorEastAsia"/>
                      <w:szCs w:val="24"/>
                    </w:rPr>
                    <w:drawing>
                      <wp:inline distT="0" distB="0" distL="0" distR="0">
                        <wp:extent cx="2861945" cy="1210310"/>
                        <wp:effectExtent l="0" t="0" r="0" b="889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1755" cy="1210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autoSpaceDE w:val="0"/>
              <w:autoSpaceDN w:val="0"/>
              <w:spacing w:line="400" w:lineRule="atLeast"/>
              <w:jc w:val="left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 xml:space="preserve">3.0.2  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>支座按材料可分为天然橡胶支座、铅芯橡胶支座、高阻尼橡胶支座三类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。</w:t>
            </w:r>
          </w:p>
          <w:p>
            <w:pPr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（1）结合我省生产、使用实际情况支座按构造分类仅涉及Ⅰ型支座第1种橡胶保护层硫化前包裹型和Ⅱ型支座。因此删除Ⅰ型支座第2种橡胶保护层硫化后包裹型和Ⅲ型支座。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（2）细化支座结构类型，增加支座平面构造图、剖面构造图。</w:t>
            </w:r>
          </w:p>
        </w:tc>
        <w:tc>
          <w:tcPr>
            <w:tcW w:w="3386" w:type="dxa"/>
            <w:vAlign w:val="center"/>
          </w:tcPr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outlineLvl w:val="2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我省工程实践、隔震支座生产均没有涉及橡胶保护层硫化后包裹型，也没Ⅲ型支座。此外增加产品识别度，提高标准实用性分别增加Ⅰ型/Ⅱ型支座平面构造图、剖面构造图.</w:t>
            </w:r>
          </w:p>
        </w:tc>
        <w:tc>
          <w:tcPr>
            <w:tcW w:w="10266" w:type="dxa"/>
          </w:tcPr>
          <w:p>
            <w:pPr>
              <w:keepNext/>
              <w:autoSpaceDE w:val="0"/>
              <w:autoSpaceDN w:val="0"/>
              <w:snapToGrid w:val="0"/>
              <w:spacing w:line="360" w:lineRule="auto"/>
              <w:jc w:val="left"/>
              <w:outlineLvl w:val="2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3.0.2支座的构造见表3.0.2.1、表</w:t>
            </w:r>
            <w:r>
              <w:rPr>
                <w:rFonts w:asciiTheme="minorEastAsia" w:hAnsiTheme="minorEastAsia"/>
                <w:sz w:val="28"/>
              </w:rPr>
              <w:t>3.0.2.</w:t>
            </w:r>
            <w:r>
              <w:rPr>
                <w:rFonts w:hint="eastAsia" w:asciiTheme="minorEastAsia" w:hAnsiTheme="minorEastAsia"/>
                <w:sz w:val="28"/>
              </w:rPr>
              <w:t>2，圆形支座按构造可分为Ⅰ、Ⅱ两种类型，矩形支座构造亦可分为Ⅰ、Ⅱ两种类型。</w:t>
            </w:r>
          </w:p>
          <w:p>
            <w:pPr>
              <w:keepNext/>
              <w:autoSpaceDE w:val="0"/>
              <w:autoSpaceDN w:val="0"/>
              <w:snapToGrid w:val="0"/>
              <w:spacing w:line="360" w:lineRule="auto"/>
              <w:jc w:val="center"/>
              <w:outlineLvl w:val="2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 xml:space="preserve">表3.0.2.1  </w:t>
            </w:r>
            <w:r>
              <w:rPr>
                <w:rFonts w:hint="eastAsia" w:asciiTheme="minorEastAsia" w:hAnsiTheme="minorEastAsia"/>
                <w:sz w:val="28"/>
              </w:rPr>
              <w:t>Ⅰ型支座按构造分类</w:t>
            </w:r>
          </w:p>
          <w:tbl>
            <w:tblPr>
              <w:tblStyle w:val="9"/>
              <w:tblW w:w="10364" w:type="dxa"/>
              <w:jc w:val="center"/>
              <w:tblInd w:w="0" w:type="dxa"/>
              <w:tblBorders>
                <w:top w:val="single" w:color="auto" w:sz="24" w:space="0"/>
                <w:left w:val="single" w:color="auto" w:sz="24" w:space="0"/>
                <w:bottom w:val="single" w:color="auto" w:sz="24" w:space="0"/>
                <w:right w:val="single" w:color="auto" w:sz="2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6"/>
              <w:gridCol w:w="776"/>
              <w:gridCol w:w="824"/>
              <w:gridCol w:w="312"/>
              <w:gridCol w:w="287"/>
              <w:gridCol w:w="3645"/>
              <w:gridCol w:w="236"/>
              <w:gridCol w:w="3782"/>
              <w:gridCol w:w="6"/>
            </w:tblGrid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" w:type="dxa"/>
                <w:trHeight w:val="386" w:hRule="atLeast"/>
                <w:jc w:val="center"/>
              </w:trPr>
              <w:tc>
                <w:tcPr>
                  <w:tcW w:w="2408" w:type="dxa"/>
                  <w:gridSpan w:val="4"/>
                  <w:vAlign w:val="center"/>
                </w:tcPr>
                <w:p>
                  <w:pPr>
                    <w:snapToGrid w:val="0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构造类型</w:t>
                  </w:r>
                </w:p>
              </w:tc>
              <w:tc>
                <w:tcPr>
                  <w:tcW w:w="3932" w:type="dxa"/>
                  <w:gridSpan w:val="2"/>
                </w:tcPr>
                <w:p>
                  <w:pPr>
                    <w:snapToGrid w:val="0"/>
                    <w:spacing w:before="60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剖面构造图</w:t>
                  </w:r>
                </w:p>
              </w:tc>
              <w:tc>
                <w:tcPr>
                  <w:tcW w:w="4018" w:type="dxa"/>
                  <w:gridSpan w:val="2"/>
                </w:tcPr>
                <w:p>
                  <w:pPr>
                    <w:snapToGrid w:val="0"/>
                    <w:spacing w:before="60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平面构造图</w:t>
                  </w:r>
                </w:p>
              </w:tc>
            </w:tr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264" w:hRule="atLeast"/>
                <w:jc w:val="center"/>
              </w:trPr>
              <w:tc>
                <w:tcPr>
                  <w:tcW w:w="496" w:type="dxa"/>
                  <w:vMerge w:val="restart"/>
                  <w:vAlign w:val="center"/>
                </w:tcPr>
                <w:p>
                  <w:pPr>
                    <w:snapToGrid w:val="0"/>
                    <w:spacing w:after="240" w:line="300" w:lineRule="auto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Ⅰ型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连接板和封板用螺栓连接。封板与内部橡胶黏合。</w:t>
                  </w:r>
                </w:p>
              </w:tc>
              <w:tc>
                <w:tcPr>
                  <w:tcW w:w="1423" w:type="dxa"/>
                  <w:gridSpan w:val="3"/>
                  <w:textDirection w:val="tbRlV"/>
                </w:tcPr>
                <w:p>
                  <w:pPr>
                    <w:snapToGrid w:val="0"/>
                    <w:spacing w:before="240" w:line="480" w:lineRule="auto"/>
                    <w:ind w:left="57" w:leftChars="27" w:right="57" w:rightChars="27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圆形支座</w:t>
                  </w:r>
                </w:p>
              </w:tc>
              <w:tc>
                <w:tcPr>
                  <w:tcW w:w="3881" w:type="dxa"/>
                  <w:gridSpan w:val="2"/>
                </w:tcPr>
                <w:p>
                  <w:pPr>
                    <w:snapToGrid w:val="0"/>
                    <w:spacing w:before="480" w:line="300" w:lineRule="auto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149475" cy="1318260"/>
                        <wp:effectExtent l="0" t="0" r="3175" b="0"/>
                        <wp:docPr id="41" name="图片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图片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47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8" w:type="dxa"/>
                  <w:gridSpan w:val="2"/>
                </w:tcPr>
                <w:p>
                  <w:pPr>
                    <w:snapToGrid w:val="0"/>
                    <w:spacing w:line="300" w:lineRule="auto"/>
                    <w:ind w:left="105" w:leftChars="50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066290" cy="1876425"/>
                        <wp:effectExtent l="0" t="0" r="0" b="9525"/>
                        <wp:docPr id="40" name="图片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图片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29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267" w:hRule="atLeast"/>
                <w:jc w:val="center"/>
              </w:trPr>
              <w:tc>
                <w:tcPr>
                  <w:tcW w:w="496" w:type="dxa"/>
                  <w:vMerge w:val="continue"/>
                  <w:vAlign w:val="center"/>
                </w:tcPr>
                <w:p>
                  <w:pPr>
                    <w:snapToGrid w:val="0"/>
                    <w:spacing w:after="240" w:line="300" w:lineRule="auto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776" w:type="dxa"/>
                  <w:vMerge w:val="continue"/>
                  <w:vAlign w:val="center"/>
                </w:tcPr>
                <w:p>
                  <w:pPr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824" w:type="dxa"/>
                  <w:vMerge w:val="restart"/>
                  <w:textDirection w:val="tbRlV"/>
                </w:tcPr>
                <w:p>
                  <w:pPr>
                    <w:snapToGrid w:val="0"/>
                    <w:ind w:left="113" w:right="113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矩形支座</w:t>
                  </w:r>
                </w:p>
              </w:tc>
              <w:tc>
                <w:tcPr>
                  <w:tcW w:w="599" w:type="dxa"/>
                  <w:gridSpan w:val="2"/>
                  <w:textDirection w:val="tbRlV"/>
                </w:tcPr>
                <w:p>
                  <w:pPr>
                    <w:snapToGrid w:val="0"/>
                    <w:ind w:left="113" w:right="113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单孔</w:t>
                  </w:r>
                </w:p>
              </w:tc>
              <w:tc>
                <w:tcPr>
                  <w:tcW w:w="3881" w:type="dxa"/>
                  <w:gridSpan w:val="2"/>
                </w:tcPr>
                <w:p>
                  <w:pPr>
                    <w:snapToGrid w:val="0"/>
                    <w:spacing w:before="780" w:beforeLines="250" w:line="240" w:lineRule="atLeast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208530" cy="1449070"/>
                        <wp:effectExtent l="0" t="0" r="1270" b="0"/>
                        <wp:docPr id="39" name="图片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图片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8530" cy="1449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8" w:type="dxa"/>
                  <w:gridSpan w:val="2"/>
                </w:tcPr>
                <w:p>
                  <w:pPr>
                    <w:snapToGrid w:val="0"/>
                    <w:spacing w:before="240" w:after="240" w:line="300" w:lineRule="auto"/>
                    <w:ind w:left="105" w:leftChars="50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149475" cy="1816735"/>
                        <wp:effectExtent l="0" t="0" r="3175" b="0"/>
                        <wp:docPr id="38" name="图片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图片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475" cy="1816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966" w:hRule="atLeast"/>
                <w:jc w:val="center"/>
              </w:trPr>
              <w:tc>
                <w:tcPr>
                  <w:tcW w:w="496" w:type="dxa"/>
                  <w:vMerge w:val="continue"/>
                  <w:vAlign w:val="center"/>
                </w:tcPr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776" w:type="dxa"/>
                  <w:vMerge w:val="continue"/>
                  <w:vAlign w:val="center"/>
                </w:tcPr>
                <w:p>
                  <w:pPr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824" w:type="dxa"/>
                  <w:vMerge w:val="continue"/>
                </w:tcPr>
                <w:p>
                  <w:pPr>
                    <w:snapToGrid w:val="0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599" w:type="dxa"/>
                  <w:gridSpan w:val="2"/>
                  <w:textDirection w:val="tbRlV"/>
                </w:tcPr>
                <w:p>
                  <w:pPr>
                    <w:snapToGrid w:val="0"/>
                    <w:ind w:left="113" w:right="113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四孔</w:t>
                  </w:r>
                </w:p>
              </w:tc>
              <w:tc>
                <w:tcPr>
                  <w:tcW w:w="3881" w:type="dxa"/>
                  <w:gridSpan w:val="2"/>
                </w:tcPr>
                <w:p>
                  <w:pPr>
                    <w:snapToGrid w:val="0"/>
                    <w:spacing w:before="600" w:after="240" w:line="720" w:lineRule="auto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327275" cy="1294130"/>
                        <wp:effectExtent l="0" t="0" r="0" b="1270"/>
                        <wp:docPr id="37" name="图片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图片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7275" cy="1294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8" w:type="dxa"/>
                  <w:gridSpan w:val="2"/>
                </w:tcPr>
                <w:p>
                  <w:pPr>
                    <w:snapToGrid w:val="0"/>
                    <w:spacing w:before="240" w:after="240" w:line="480" w:lineRule="auto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268220" cy="1769110"/>
                        <wp:effectExtent l="0" t="0" r="0" b="2540"/>
                        <wp:docPr id="36" name="图片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图片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8220" cy="176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ind w:firstLine="4760" w:firstLineChars="170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表3.0.2.2</w:t>
            </w:r>
            <w:r>
              <w:rPr>
                <w:rFonts w:hint="eastAsia" w:asciiTheme="minorEastAsia" w:hAnsiTheme="minorEastAsia"/>
                <w:sz w:val="28"/>
              </w:rPr>
              <w:t xml:space="preserve">  Ⅱ型支座按构造分类</w:t>
            </w:r>
          </w:p>
          <w:tbl>
            <w:tblPr>
              <w:tblStyle w:val="9"/>
              <w:tblW w:w="10259" w:type="dxa"/>
              <w:jc w:val="center"/>
              <w:tblInd w:w="0" w:type="dxa"/>
              <w:tblBorders>
                <w:top w:val="single" w:color="auto" w:sz="24" w:space="0"/>
                <w:left w:val="single" w:color="auto" w:sz="24" w:space="0"/>
                <w:bottom w:val="single" w:color="auto" w:sz="24" w:space="0"/>
                <w:right w:val="single" w:color="auto" w:sz="2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1"/>
              <w:gridCol w:w="776"/>
              <w:gridCol w:w="608"/>
              <w:gridCol w:w="608"/>
              <w:gridCol w:w="3876"/>
              <w:gridCol w:w="3770"/>
            </w:tblGrid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2613" w:type="dxa"/>
                  <w:gridSpan w:val="4"/>
                  <w:vAlign w:val="center"/>
                </w:tcPr>
                <w:p>
                  <w:pPr>
                    <w:snapToGrid w:val="0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构造类型</w:t>
                  </w:r>
                </w:p>
              </w:tc>
              <w:tc>
                <w:tcPr>
                  <w:tcW w:w="3876" w:type="dxa"/>
                </w:tcPr>
                <w:p>
                  <w:pPr>
                    <w:snapToGrid w:val="0"/>
                    <w:spacing w:before="60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剖面构造图</w:t>
                  </w:r>
                </w:p>
              </w:tc>
              <w:tc>
                <w:tcPr>
                  <w:tcW w:w="3770" w:type="dxa"/>
                </w:tcPr>
                <w:p>
                  <w:pPr>
                    <w:snapToGrid w:val="0"/>
                    <w:spacing w:before="60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平面构造图</w:t>
                  </w:r>
                </w:p>
              </w:tc>
            </w:tr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264" w:hRule="atLeast"/>
                <w:jc w:val="center"/>
              </w:trPr>
              <w:tc>
                <w:tcPr>
                  <w:tcW w:w="621" w:type="dxa"/>
                  <w:vMerge w:val="restart"/>
                  <w:vAlign w:val="center"/>
                </w:tcPr>
                <w:p>
                  <w:pPr>
                    <w:snapToGrid w:val="0"/>
                    <w:spacing w:after="240" w:line="300" w:lineRule="auto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Ⅱ型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</w:tcPr>
                <w:p>
                  <w:pPr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 xml:space="preserve">连接板与内部橡胶黏合。 </w:t>
                  </w:r>
                </w:p>
              </w:tc>
              <w:tc>
                <w:tcPr>
                  <w:tcW w:w="1216" w:type="dxa"/>
                  <w:gridSpan w:val="2"/>
                  <w:textDirection w:val="tbRlV"/>
                </w:tcPr>
                <w:p>
                  <w:pPr>
                    <w:snapToGrid w:val="0"/>
                    <w:spacing w:before="240" w:line="480" w:lineRule="auto"/>
                    <w:ind w:left="57" w:leftChars="27" w:right="57" w:rightChars="27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圆形支座</w:t>
                  </w:r>
                </w:p>
              </w:tc>
              <w:tc>
                <w:tcPr>
                  <w:tcW w:w="3876" w:type="dxa"/>
                </w:tcPr>
                <w:p>
                  <w:pPr>
                    <w:snapToGrid w:val="0"/>
                    <w:spacing w:before="360" w:line="300" w:lineRule="auto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315845" cy="1270635"/>
                        <wp:effectExtent l="0" t="0" r="8255" b="5715"/>
                        <wp:docPr id="27" name="图片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图片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5845" cy="1270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70" w:type="dxa"/>
                </w:tcPr>
                <w:p>
                  <w:pPr>
                    <w:snapToGrid w:val="0"/>
                    <w:spacing w:line="300" w:lineRule="auto"/>
                    <w:ind w:left="105" w:leftChars="50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066290" cy="1935480"/>
                        <wp:effectExtent l="0" t="0" r="0" b="7620"/>
                        <wp:docPr id="30" name="图片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图片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290" cy="1935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267" w:hRule="atLeast"/>
                <w:jc w:val="center"/>
              </w:trPr>
              <w:tc>
                <w:tcPr>
                  <w:tcW w:w="621" w:type="dxa"/>
                  <w:vMerge w:val="continue"/>
                  <w:vAlign w:val="center"/>
                </w:tcPr>
                <w:p>
                  <w:pPr>
                    <w:snapToGrid w:val="0"/>
                    <w:spacing w:after="240" w:line="300" w:lineRule="auto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776" w:type="dxa"/>
                  <w:vMerge w:val="continue"/>
                  <w:vAlign w:val="center"/>
                </w:tcPr>
                <w:p>
                  <w:pPr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608" w:type="dxa"/>
                  <w:vMerge w:val="restart"/>
                  <w:textDirection w:val="tbRlV"/>
                </w:tcPr>
                <w:p>
                  <w:pPr>
                    <w:snapToGrid w:val="0"/>
                    <w:ind w:left="113" w:right="113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矩形支座</w:t>
                  </w:r>
                </w:p>
              </w:tc>
              <w:tc>
                <w:tcPr>
                  <w:tcW w:w="608" w:type="dxa"/>
                  <w:textDirection w:val="tbRlV"/>
                </w:tcPr>
                <w:p>
                  <w:pPr>
                    <w:snapToGrid w:val="0"/>
                    <w:ind w:left="113" w:right="113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单孔</w:t>
                  </w:r>
                </w:p>
              </w:tc>
              <w:tc>
                <w:tcPr>
                  <w:tcW w:w="3876" w:type="dxa"/>
                </w:tcPr>
                <w:p>
                  <w:pPr>
                    <w:snapToGrid w:val="0"/>
                    <w:spacing w:before="360" w:line="300" w:lineRule="auto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315845" cy="1306195"/>
                        <wp:effectExtent l="0" t="0" r="8255" b="8255"/>
                        <wp:docPr id="31" name="图片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图片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5845" cy="1306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70" w:type="dxa"/>
                </w:tcPr>
                <w:p>
                  <w:pPr>
                    <w:snapToGrid w:val="0"/>
                    <w:spacing w:line="300" w:lineRule="auto"/>
                    <w:ind w:left="105" w:leftChars="50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066290" cy="1864360"/>
                        <wp:effectExtent l="0" t="0" r="0" b="2540"/>
                        <wp:docPr id="32" name="图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图片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290" cy="1864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24" w:space="0"/>
                  <w:left w:val="single" w:color="auto" w:sz="24" w:space="0"/>
                  <w:bottom w:val="single" w:color="auto" w:sz="24" w:space="0"/>
                  <w:right w:val="single" w:color="auto" w:sz="2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966" w:hRule="atLeast"/>
                <w:jc w:val="center"/>
              </w:trPr>
              <w:tc>
                <w:tcPr>
                  <w:tcW w:w="621" w:type="dxa"/>
                  <w:vMerge w:val="continue"/>
                  <w:vAlign w:val="center"/>
                </w:tcPr>
                <w:p>
                  <w:pPr>
                    <w:snapToGrid w:val="0"/>
                    <w:spacing w:line="300" w:lineRule="auto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776" w:type="dxa"/>
                  <w:vMerge w:val="continue"/>
                  <w:vAlign w:val="center"/>
                </w:tcPr>
                <w:p>
                  <w:pPr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608" w:type="dxa"/>
                  <w:vMerge w:val="continue"/>
                </w:tcPr>
                <w:p>
                  <w:pPr>
                    <w:snapToGrid w:val="0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608" w:type="dxa"/>
                  <w:textDirection w:val="tbRlV"/>
                </w:tcPr>
                <w:p>
                  <w:pPr>
                    <w:snapToGrid w:val="0"/>
                    <w:ind w:left="113" w:right="113"/>
                    <w:jc w:val="center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</w:rPr>
                    <w:t>四孔</w:t>
                  </w:r>
                </w:p>
              </w:tc>
              <w:tc>
                <w:tcPr>
                  <w:tcW w:w="3876" w:type="dxa"/>
                </w:tcPr>
                <w:p>
                  <w:pPr>
                    <w:snapToGrid w:val="0"/>
                    <w:spacing w:before="468" w:beforeLines="150" w:line="300" w:lineRule="auto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256155" cy="1282700"/>
                        <wp:effectExtent l="0" t="0" r="0" b="0"/>
                        <wp:docPr id="33" name="图片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图片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6155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70" w:type="dxa"/>
                </w:tcPr>
                <w:p>
                  <w:pPr>
                    <w:snapToGrid w:val="0"/>
                    <w:spacing w:line="300" w:lineRule="auto"/>
                    <w:ind w:left="210" w:leftChars="100"/>
                    <w:outlineLvl w:val="2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/>
                      <w:sz w:val="28"/>
                    </w:rPr>
                    <w:drawing>
                      <wp:inline distT="0" distB="0" distL="0" distR="0">
                        <wp:extent cx="2066290" cy="1852295"/>
                        <wp:effectExtent l="0" t="0" r="0" b="0"/>
                        <wp:docPr id="34" name="图片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图片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290" cy="1852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autoSpaceDE w:val="0"/>
              <w:autoSpaceDN w:val="0"/>
              <w:spacing w:line="400" w:lineRule="atLeast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3.0.3  支座按材料可分为天然橡胶支座、铅芯橡胶支座、高阻尼橡胶支座三类。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4.1.1</w:t>
            </w:r>
          </w:p>
        </w:tc>
        <w:tc>
          <w:tcPr>
            <w:tcW w:w="7887" w:type="dxa"/>
            <w:vAlign w:val="center"/>
          </w:tcPr>
          <w:p>
            <w:pPr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支座所用橡胶可选用天然橡胶或合成橡胶。天然橡胶优先选用一级烟片胶，也可选用一级标准胶，并应符合《天然生胶 烟胶片、白绉胶片和浅色绉胶片》GB/T 8089的规定。</w:t>
            </w:r>
          </w:p>
        </w:tc>
        <w:tc>
          <w:tcPr>
            <w:tcW w:w="2567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修订增加“合成橡胶的选用也应符合现行相关标准的规定。”修改引用标准格式。</w:t>
            </w:r>
          </w:p>
        </w:tc>
        <w:tc>
          <w:tcPr>
            <w:tcW w:w="3386" w:type="dxa"/>
          </w:tcPr>
          <w:p>
            <w:pPr>
              <w:jc w:val="left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 w:val="28"/>
              </w:rPr>
              <w:t>支座生产过程中有涉及除天然橡胶之外的其他合成橡胶。修改引用标准格式，符合标准规范化管理原则。</w:t>
            </w:r>
          </w:p>
        </w:tc>
        <w:tc>
          <w:tcPr>
            <w:tcW w:w="1026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 w:val="28"/>
              </w:rPr>
              <w:t>4.0.1  支座所用橡胶可选用天然橡胶或合成橡胶。天然橡胶优先选用一级烟片胶，也可选用一级标准胶，并应符合GB/T 8089的规定。不能使用再生胶。合成橡胶的选用也应符合现行相关标准的规定。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default" w:cs="宋体" w:asciiTheme="minorEastAsia" w:hAnsiTheme="minorEastAsia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4.1.2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hint="default" w:cs="宋体" w:asciiTheme="minorEastAsia" w:hAnsiTheme="minorEastAsia" w:eastAsiaTheme="minorEastAsia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橡胶材料的拉伸性能、老化性能、硬度、抗臭氧性能。</w:t>
            </w:r>
          </w:p>
        </w:tc>
        <w:tc>
          <w:tcPr>
            <w:tcW w:w="2567" w:type="dxa"/>
            <w:vAlign w:val="center"/>
          </w:tcPr>
          <w:p>
            <w:pPr>
              <w:autoSpaceDE w:val="0"/>
              <w:autoSpaceDN w:val="0"/>
              <w:snapToGrid w:val="0"/>
              <w:ind w:left="69" w:leftChars="33" w:right="115" w:rightChars="55"/>
              <w:jc w:val="center"/>
              <w:textAlignment w:val="center"/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）增加了高阻尼胶料的物理机械性能；（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）天然橡胶支座和铅芯橡胶支座</w:t>
            </w:r>
          </w:p>
          <w:p>
            <w:pPr>
              <w:autoSpaceDE w:val="0"/>
              <w:autoSpaceDN w:val="0"/>
              <w:snapToGrid w:val="0"/>
              <w:ind w:left="69" w:leftChars="33" w:right="115" w:rightChars="55"/>
              <w:jc w:val="center"/>
              <w:textAlignment w:val="center"/>
              <w:rPr>
                <w:rFonts w:hint="eastAsia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的物理机械性能</w:t>
            </w:r>
          </w:p>
        </w:tc>
        <w:tc>
          <w:tcPr>
            <w:tcW w:w="3386" w:type="dxa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引用《建筑隔震橡胶支座》JG118-2018</w:t>
            </w:r>
          </w:p>
        </w:tc>
        <w:tc>
          <w:tcPr>
            <w:tcW w:w="10266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hint="eastAsia" w:cs="宋体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4.1.2</w:t>
            </w:r>
            <w:r>
              <w:rPr>
                <w:rFonts w:hint="eastAsia" w:asciiTheme="minorEastAsia" w:hAnsiTheme="minorEastAsia"/>
                <w:sz w:val="28"/>
              </w:rPr>
              <w:t>橡胶物理性能试验项目和要求应满足表</w:t>
            </w:r>
            <w:r>
              <w:rPr>
                <w:rFonts w:hint="eastAsia" w:asciiTheme="minorEastAsia" w:hAnsiTheme="minorEastAsia"/>
                <w:sz w:val="28"/>
              </w:rPr>
              <w:fldChar w:fldCharType="begin"/>
            </w:r>
            <w:r>
              <w:rPr>
                <w:rFonts w:hint="eastAsia" w:asciiTheme="minorEastAsia" w:hAnsiTheme="minorEastAsia"/>
                <w:sz w:val="28"/>
              </w:rPr>
              <w:instrText xml:space="preserve"> REF _Ref334094652 \r \h  \* MERGEFORMAT </w:instrText>
            </w:r>
            <w:r>
              <w:rPr>
                <w:rFonts w:hint="eastAsia" w:asciiTheme="minorEastAsia" w:hAnsiTheme="minorEastAsia"/>
                <w:sz w:val="28"/>
              </w:rPr>
              <w:fldChar w:fldCharType="separate"/>
            </w:r>
            <w:r>
              <w:rPr>
                <w:rFonts w:hint="eastAsia" w:asciiTheme="minorEastAsia" w:hAnsiTheme="minorEastAsia"/>
                <w:sz w:val="28"/>
                <w:cs/>
              </w:rPr>
              <w:t>‎</w:t>
            </w:r>
            <w:r>
              <w:rPr>
                <w:rFonts w:hint="eastAsia" w:asciiTheme="minorEastAsia" w:hAnsiTheme="minorEastAsia"/>
                <w:sz w:val="28"/>
              </w:rPr>
              <w:t>4.1.2</w:t>
            </w:r>
            <w:r>
              <w:rPr>
                <w:rFonts w:hint="eastAsia" w:asciiTheme="minorEastAsia" w:hAnsiTheme="minorEastAsia"/>
                <w:sz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</w:rPr>
              <w:t>的规定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default" w:cs="宋体" w:asciiTheme="minorEastAsia" w:hAnsiTheme="minorEastAsia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4.1.3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hint="eastAsia" w:cs="宋体" w:asciiTheme="minorEastAsia" w:hAnsiTheme="minorEastAsia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无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无试验方法规定</w:t>
            </w:r>
          </w:p>
        </w:tc>
        <w:tc>
          <w:tcPr>
            <w:tcW w:w="3386" w:type="dxa"/>
          </w:tcPr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hint="eastAsia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增加物理机械性能试验方法</w:t>
            </w:r>
          </w:p>
        </w:tc>
        <w:tc>
          <w:tcPr>
            <w:tcW w:w="10266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4.1.3天然橡胶的物理机械性能试验应符合GB/T 2941、HG/T 2198的规定。高阻尼橡胶的物理机械性能试验应符合GB/T 2941、HG/T 2198的规定。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4.3.1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cs="宋体" w:asciiTheme="minorEastAsia" w:hAnsiTheme="minorEastAsia"/>
                <w:sz w:val="28"/>
                <w:szCs w:val="24"/>
              </w:rPr>
              <w:t>4.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3</w:t>
            </w:r>
            <w:r>
              <w:rPr>
                <w:rFonts w:cs="宋体" w:asciiTheme="minorEastAsia" w:hAnsiTheme="minorEastAsia"/>
                <w:sz w:val="28"/>
                <w:szCs w:val="24"/>
              </w:rPr>
              <w:t>.1</w:t>
            </w:r>
            <w:r>
              <w:rPr>
                <w:rFonts w:cs="宋体" w:asciiTheme="minorEastAsia" w:hAnsiTheme="minorEastAsia"/>
                <w:sz w:val="28"/>
                <w:szCs w:val="24"/>
              </w:rPr>
              <w:tab/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铅芯应采用纯度不小于99.99%的铅锭加工而成。铅锭应符合《铅锭》GB/T 469的规定。</w:t>
            </w:r>
          </w:p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删除《铅锭》</w:t>
            </w:r>
          </w:p>
        </w:tc>
        <w:tc>
          <w:tcPr>
            <w:tcW w:w="3386" w:type="dxa"/>
          </w:tcPr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修改引用标准格式，符合标准规范化管理原则。</w:t>
            </w:r>
          </w:p>
        </w:tc>
        <w:tc>
          <w:tcPr>
            <w:tcW w:w="10266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4.3.1   铅芯应采用纯度不小于99.99%的铅锭加工而成。铅锭应符合GB/T 469的规定。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lang w:val="en-US" w:eastAsia="zh-CN"/>
              </w:rPr>
              <w:t>5.1.3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hint="eastAsia" w:cs="宋体" w:asciiTheme="minorEastAsia" w:hAnsiTheme="minorEastAsia" w:eastAsiaTheme="minorEastAsia"/>
                <w:sz w:val="28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无</w:t>
            </w:r>
          </w:p>
        </w:tc>
        <w:tc>
          <w:tcPr>
            <w:tcW w:w="256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新增</w:t>
            </w:r>
          </w:p>
        </w:tc>
        <w:tc>
          <w:tcPr>
            <w:tcW w:w="3386" w:type="dxa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hint="eastAsia" w:cs="宋体" w:asciiTheme="minorEastAsia" w:hAnsiTheme="minorEastAsia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引用《建筑隔震橡胶支座》JG118-2018</w:t>
            </w:r>
          </w:p>
        </w:tc>
        <w:tc>
          <w:tcPr>
            <w:tcW w:w="10266" w:type="dxa"/>
            <w:vAlign w:val="center"/>
          </w:tcPr>
          <w:p>
            <w:pPr>
              <w:autoSpaceDE w:val="0"/>
              <w:autoSpaceDN w:val="0"/>
              <w:spacing w:line="400" w:lineRule="atLeast"/>
              <w:jc w:val="left"/>
              <w:rPr>
                <w:rFonts w:hint="eastAsia" w:cs="宋体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建筑隔震橡胶支座第一形状系数S1不应小于15，第二形状系数S2不应小于3、不宜小于5。当S2小于5.0时应降低支座压应力限值：S2小于5且不小于4时降低20%，当S2小于4且不小于3时降低40%；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default" w:asciiTheme="minorEastAsia" w:hAnsiTheme="minorEastAsia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lang w:val="en-US" w:eastAsia="zh-CN"/>
              </w:rPr>
              <w:t>5.1.4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无</w:t>
            </w:r>
          </w:p>
        </w:tc>
        <w:tc>
          <w:tcPr>
            <w:tcW w:w="256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新增</w:t>
            </w:r>
          </w:p>
        </w:tc>
        <w:tc>
          <w:tcPr>
            <w:tcW w:w="3386" w:type="dxa"/>
          </w:tcPr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hint="default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（1）极限剪应变提高到450%，罕遇地震下隔震层的变形能力提高，隔震结构的安全储备提高。</w:t>
            </w:r>
          </w:p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（2）直径不大于1000mm的支座，目前应用最多的是S2=5和3Tr=0.55D系列，此时450%时对应0.83D；</w:t>
            </w:r>
          </w:p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hint="default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（3）直径1100-1600mm相对直径1000及以内的支座应用要少一些，因此这里极限剪应变要达到450%和0.71D的要求。</w:t>
            </w:r>
          </w:p>
        </w:tc>
        <w:tc>
          <w:tcPr>
            <w:tcW w:w="10266" w:type="dxa"/>
            <w:vAlign w:val="center"/>
          </w:tcPr>
          <w:p>
            <w:pPr>
              <w:autoSpaceDE w:val="0"/>
              <w:autoSpaceDN w:val="0"/>
              <w:spacing w:line="400" w:lineRule="atLeast"/>
              <w:jc w:val="left"/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隔震橡胶支座直径不大于1000mm的极限剪切变形不应小于橡胶总厚度的450%与0.83D的较大值；隔震橡胶支座直径不大于1600mm极限剪切变形不应小于橡胶总厚度的450%与0.71D的较大值；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default" w:asciiTheme="minorEastAsia" w:hAnsiTheme="minorEastAsia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lang w:val="en-US" w:eastAsia="zh-CN"/>
              </w:rPr>
              <w:t>5.1.5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无</w:t>
            </w:r>
          </w:p>
        </w:tc>
        <w:tc>
          <w:tcPr>
            <w:tcW w:w="2567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新增</w:t>
            </w:r>
          </w:p>
        </w:tc>
        <w:tc>
          <w:tcPr>
            <w:tcW w:w="3386" w:type="dxa"/>
          </w:tcPr>
          <w:p>
            <w:pPr>
              <w:autoSpaceDE w:val="0"/>
              <w:autoSpaceDN w:val="0"/>
              <w:spacing w:line="240" w:lineRule="auto"/>
              <w:jc w:val="left"/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隔震装置应用越来越多，因为建筑功能等原因有防火需求，因此这里增加防火性能的规定。</w:t>
            </w:r>
          </w:p>
        </w:tc>
        <w:tc>
          <w:tcPr>
            <w:tcW w:w="10266" w:type="dxa"/>
            <w:vAlign w:val="center"/>
          </w:tcPr>
          <w:p>
            <w:pPr>
              <w:autoSpaceDE w:val="0"/>
              <w:autoSpaceDN w:val="0"/>
              <w:spacing w:line="400" w:lineRule="atLeast"/>
              <w:jc w:val="left"/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隔震装置的耐火性能应满足国家和地方有关标准。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rPr>
                <w:rFonts w:hint="default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6.2.1</w:t>
            </w:r>
          </w:p>
        </w:tc>
        <w:tc>
          <w:tcPr>
            <w:tcW w:w="788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直径或边长不大于600mm 支座，侧向不均匀变形不大于3mm；直径或边长大于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00mm 及以上支座，侧向不均匀变形不大于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mm；</w:t>
            </w:r>
          </w:p>
        </w:tc>
        <w:tc>
          <w:tcPr>
            <w:tcW w:w="256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修订</w:t>
            </w:r>
          </w:p>
        </w:tc>
        <w:tc>
          <w:tcPr>
            <w:tcW w:w="3386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按照《建筑隔震橡胶支座》JG118-2018修改，同事又提高了要求。侧向变形直观反映了支座产品质量。</w:t>
            </w:r>
          </w:p>
        </w:tc>
        <w:tc>
          <w:tcPr>
            <w:tcW w:w="10266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设计压应力下侧向变形：直径或边长不大于600mm 支座，侧向不均匀变形不大于3mm；直径或边长不大于1000mm 支座，侧向不均匀变形不大于4mm；直径或边长大于1000mm 支座，侧向不均匀变形不大于5mm。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15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6.2.1</w:t>
            </w:r>
          </w:p>
        </w:tc>
        <w:tc>
          <w:tcPr>
            <w:tcW w:w="788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无</w:t>
            </w:r>
          </w:p>
        </w:tc>
        <w:tc>
          <w:tcPr>
            <w:tcW w:w="256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新增</w:t>
            </w:r>
          </w:p>
        </w:tc>
        <w:tc>
          <w:tcPr>
            <w:tcW w:w="3386" w:type="dxa"/>
            <w:vAlign w:val="center"/>
          </w:tcPr>
          <w:p>
            <w:pPr>
              <w:rPr>
                <w:rFonts w:hint="default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罕遇地震下隔震支座的竖向压应力会达到30MPa，此时支座的产品质量非常关键，因此增加30MPa压应力下的侧向变形控制要求。</w:t>
            </w:r>
          </w:p>
        </w:tc>
        <w:tc>
          <w:tcPr>
            <w:tcW w:w="10266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基本压应力30MPa，轴心受压，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侧向变形在两相互垂直的直径(或两对称轴)上测量，取不利值。直径或边长不大于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00mm 支座，侧向不均匀变形不大于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mm；直径或边长不小于700mm 支座，侧向不均匀变形不大于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157" w:type="dxa"/>
            <w:vAlign w:val="center"/>
          </w:tcPr>
          <w:p>
            <w:pPr>
              <w:rPr>
                <w:rFonts w:hint="default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6.2.1</w:t>
            </w:r>
          </w:p>
        </w:tc>
        <w:tc>
          <w:tcPr>
            <w:tcW w:w="788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剪应变为0时的破坏拉应力不应小于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1.5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N/mm2。</w:t>
            </w:r>
          </w:p>
        </w:tc>
        <w:tc>
          <w:tcPr>
            <w:tcW w:w="256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修订</w:t>
            </w:r>
          </w:p>
        </w:tc>
        <w:tc>
          <w:tcPr>
            <w:tcW w:w="3386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原规范里是破坏拉应力，安全储备较低。新修订时明确规定支座的屈服拉应力和极限拉应力要求。</w:t>
            </w:r>
          </w:p>
        </w:tc>
        <w:tc>
          <w:tcPr>
            <w:tcW w:w="10266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剪应变为0时的屈服拉应力不小于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2MPa，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极限拉应力不应小于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4.0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N/mm2。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157" w:type="dxa"/>
            <w:vAlign w:val="center"/>
          </w:tcPr>
          <w:p>
            <w:pPr>
              <w:rPr>
                <w:rFonts w:hint="default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6.2.1</w:t>
            </w:r>
          </w:p>
        </w:tc>
        <w:tc>
          <w:tcPr>
            <w:tcW w:w="7887" w:type="dxa"/>
            <w:vAlign w:val="center"/>
          </w:tcPr>
          <w:p>
            <w:pPr>
              <w:rPr>
                <w:rFonts w:hint="default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破坏剪应变不小于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400%</w:t>
            </w:r>
          </w:p>
        </w:tc>
        <w:tc>
          <w:tcPr>
            <w:tcW w:w="256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修订</w:t>
            </w:r>
          </w:p>
        </w:tc>
        <w:tc>
          <w:tcPr>
            <w:tcW w:w="3386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提高了支座极限剪应变要求，提高罕遇地震下隔震层的变形能力，提高隔震结构的安全储备。</w:t>
            </w:r>
          </w:p>
        </w:tc>
        <w:tc>
          <w:tcPr>
            <w:tcW w:w="10266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基准压应力下，直径不大于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1000mm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极限剪切变形不应小于橡胶总厚度的45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%和0.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83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D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。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直径不大于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1600mm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极限剪切变形不应小于橡胶总厚度的45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%和0.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71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D。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6.5/6.5.1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新增加项目</w:t>
            </w:r>
          </w:p>
        </w:tc>
        <w:tc>
          <w:tcPr>
            <w:tcW w:w="256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</w:rPr>
              <w:t>新增加6.5 耐久性性能要求，6.5.1老化性能</w:t>
            </w:r>
          </w:p>
        </w:tc>
        <w:tc>
          <w:tcPr>
            <w:tcW w:w="3386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按照《建筑隔震橡胶支座》JG118-2018修改。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明确老化性能实验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方法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，并做老化60年区适应实际工程需要。</w:t>
            </w:r>
          </w:p>
        </w:tc>
        <w:tc>
          <w:tcPr>
            <w:tcW w:w="10266" w:type="dxa"/>
            <w:vAlign w:val="center"/>
          </w:tcPr>
          <w:p>
            <w:pPr>
              <w:keepNext/>
              <w:keepLines/>
              <w:snapToGrid w:val="0"/>
              <w:spacing w:before="260" w:after="260" w:line="360" w:lineRule="auto"/>
              <w:jc w:val="both"/>
              <w:outlineLvl w:val="1"/>
              <w:rPr>
                <w:rFonts w:cs="Times New Roman" w:asciiTheme="minorEastAsia" w:hAnsiTheme="minorEastAsia"/>
                <w:bCs/>
                <w:sz w:val="28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8"/>
                <w:szCs w:val="32"/>
              </w:rPr>
              <w:t>6</w:t>
            </w:r>
            <w:r>
              <w:rPr>
                <w:rFonts w:cs="Times New Roman" w:asciiTheme="minorEastAsia" w:hAnsiTheme="minorEastAsia"/>
                <w:bCs/>
                <w:sz w:val="28"/>
                <w:szCs w:val="32"/>
              </w:rPr>
              <w:t xml:space="preserve">.5 </w:t>
            </w:r>
            <w:r>
              <w:rPr>
                <w:rFonts w:hint="eastAsia" w:cs="Times New Roman" w:asciiTheme="minorEastAsia" w:hAnsiTheme="minorEastAsia"/>
                <w:bCs/>
                <w:sz w:val="28"/>
                <w:szCs w:val="32"/>
              </w:rPr>
              <w:t>耐久性性能要求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6.5.1</w:t>
            </w:r>
            <w:r>
              <w:rPr>
                <w:rFonts w:cs="宋体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1"/>
              </w:rPr>
              <w:t>老化性能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6.5.1.1正常情况下隔震老化性能需达到60年，保护胶厚度不低于10mm。当耐老化性能有特殊要求时，老化性能需达100年，保护胶厚度不低于15mm。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6.5.1.2耐老化60年试验方法：先测定被试支座的竖向刚度、水平刚度、等效黏滞阻尼比；再将支座置于80℃的恒温箱内962h（40天）或100℃的恒温箱内185h (相当于20℃×60年的等效温度和等效时间）后取出，冷却至自然室温，再重新测定支座的竖向刚度、水平刚度、等效黏滞阻尼比。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6.5.1.4</w:t>
            </w:r>
            <w:r>
              <w:rPr>
                <w:rFonts w:cs="宋体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1"/>
              </w:rPr>
              <w:t>测试该支座老化前后的刚度和阻尼性能，并与未老化前支座性能进行比较。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6.5.1.5</w:t>
            </w:r>
            <w:r>
              <w:rPr>
                <w:rFonts w:cs="宋体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1"/>
              </w:rPr>
              <w:t>试验方法，试件可为足尺支座、缩尺模型支座或剪切型橡胶支座。试件应为同型（批）号产品，数目应不少于3对，每对包含试件A和试件B，老化步骤如下：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firstLine="42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测定试件A的剪切性能和极限剪切性能；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firstLine="42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对试件B按规定的温度和时间完成老化时间；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firstLine="42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试件B冷却不少于24h后，使其达到环境温度；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firstLine="42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测定试件B的剪切性能和极限剪切性能；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firstLine="42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确定试件A和试件B老化前后的性能变化率。</w:t>
            </w:r>
          </w:p>
          <w:p>
            <w:pPr>
              <w:widowControl/>
              <w:spacing w:line="360" w:lineRule="auto"/>
              <w:ind w:left="42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老化试验温度允许偏差为±2℃。</w:t>
            </w:r>
          </w:p>
          <w:p>
            <w:pPr>
              <w:widowControl/>
              <w:spacing w:line="360" w:lineRule="auto"/>
              <w:ind w:left="42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剪切性能和极限剪切性能的变化率可由下式计算：</w:t>
            </w:r>
          </w:p>
          <w:p>
            <w:pPr>
              <w:widowControl/>
              <w:spacing w:line="360" w:lineRule="auto"/>
              <w:ind w:left="42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position w:val="-12"/>
                <w:szCs w:val="21"/>
              </w:rPr>
              <w:drawing>
                <wp:inline distT="0" distB="0" distL="114300" distR="114300">
                  <wp:extent cx="1466215" cy="236220"/>
                  <wp:effectExtent l="0" t="0" r="0" b="11430"/>
                  <wp:docPr id="1" name="对象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对象 43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ind w:left="42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式中：</w:t>
            </w:r>
          </w:p>
          <w:p>
            <w:pPr>
              <w:widowControl/>
              <w:spacing w:line="360" w:lineRule="auto"/>
              <w:ind w:left="420"/>
              <w:jc w:val="left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szCs w:val="24"/>
              </w:rPr>
              <w:drawing>
                <wp:inline distT="0" distB="0" distL="0" distR="0">
                  <wp:extent cx="205105" cy="236220"/>
                  <wp:effectExtent l="0" t="0" r="3810" b="13335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 w:asciiTheme="minorEastAsia" w:hAnsiTheme="minorEastAsia"/>
                <w:szCs w:val="24"/>
              </w:rPr>
              <w:t>——老化前后的性能变化率（%）；</w:t>
            </w:r>
          </w:p>
          <w:p>
            <w:pPr>
              <w:widowControl/>
              <w:spacing w:line="360" w:lineRule="auto"/>
              <w:ind w:left="420"/>
              <w:jc w:val="left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szCs w:val="24"/>
              </w:rPr>
              <w:drawing>
                <wp:inline distT="0" distB="0" distL="0" distR="0">
                  <wp:extent cx="173355" cy="205105"/>
                  <wp:effectExtent l="0" t="0" r="17145" b="3175"/>
                  <wp:docPr id="7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 w:asciiTheme="minorEastAsia" w:hAnsiTheme="minorEastAsia"/>
                <w:szCs w:val="24"/>
              </w:rPr>
              <w:t>——老化后的性能；</w:t>
            </w:r>
          </w:p>
          <w:p>
            <w:pPr>
              <w:widowControl/>
              <w:spacing w:line="360" w:lineRule="auto"/>
              <w:ind w:left="420" w:leftChars="0"/>
              <w:jc w:val="left"/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4"/>
              </w:rPr>
              <w:drawing>
                <wp:inline distT="0" distB="0" distL="0" distR="0">
                  <wp:extent cx="173355" cy="236220"/>
                  <wp:effectExtent l="0" t="0" r="17145" b="13335"/>
                  <wp:docPr id="80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 w:asciiTheme="minorEastAsia" w:hAnsiTheme="minorEastAsia"/>
                <w:szCs w:val="24"/>
              </w:rPr>
              <w:t>——老化前的性能。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157" w:type="dxa"/>
            <w:vAlign w:val="center"/>
          </w:tcPr>
          <w:p>
            <w:pPr>
              <w:rPr>
                <w:rFonts w:hint="default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6.5.2</w:t>
            </w:r>
          </w:p>
        </w:tc>
        <w:tc>
          <w:tcPr>
            <w:tcW w:w="788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无</w:t>
            </w:r>
          </w:p>
        </w:tc>
        <w:tc>
          <w:tcPr>
            <w:tcW w:w="2567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新增</w:t>
            </w:r>
          </w:p>
        </w:tc>
        <w:tc>
          <w:tcPr>
            <w:tcW w:w="3386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引用《建筑隔震橡胶支座》JG118-2018</w:t>
            </w:r>
          </w:p>
        </w:tc>
        <w:tc>
          <w:tcPr>
            <w:tcW w:w="10266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 xml:space="preserve">高阻尼橡胶支座相关性能要求应符合表6.5.2的规定。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default" w:cs="宋体" w:asciiTheme="minorEastAsia" w:hAnsiTheme="minorEastAsia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6.6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新增加项目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新增加6.5 耐久性性能要求，6.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</w:rPr>
              <w:t>.1徐变性能</w:t>
            </w:r>
          </w:p>
        </w:tc>
        <w:tc>
          <w:tcPr>
            <w:tcW w:w="3386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明确徐变性能实验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方法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，并做徐变60年。</w:t>
            </w:r>
          </w:p>
        </w:tc>
        <w:tc>
          <w:tcPr>
            <w:tcW w:w="10266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6.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</w:rPr>
              <w:t>.2</w:t>
            </w:r>
            <w:r>
              <w:rPr>
                <w:rFonts w:cs="宋体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1"/>
              </w:rPr>
              <w:t>徐变性能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/>
                <w:color w:val="FF000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6.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</w:rPr>
              <w:t>.2.1 隔震支座徐变性能检测方式需与支座耐老化性能相一致，不低于60年</w:t>
            </w:r>
            <w:r>
              <w:rPr>
                <w:rFonts w:hint="eastAsia" w:cs="宋体"/>
                <w:color w:val="FF0000"/>
                <w:szCs w:val="21"/>
                <w:highlight w:val="none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6.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</w:rPr>
              <w:t>.2.2</w:t>
            </w:r>
            <w:r>
              <w:rPr>
                <w:rFonts w:cs="宋体" w:asciiTheme="minorEastAsia" w:hAnsi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徐变60年试验方法：被试支座在设计压应力作用下，置于80℃的恒温箱内962h（40天）或100℃的恒温箱内185h (相当于20℃×60年的等效温度和等效时间）后，取出测其徐变量；</w:t>
            </w:r>
          </w:p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6.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</w:rPr>
              <w:t>.2.4</w:t>
            </w:r>
            <w:r>
              <w:rPr>
                <w:rFonts w:cs="宋体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1"/>
              </w:rPr>
              <w:t>试验温度</w:t>
            </w:r>
            <w:r>
              <w:rPr>
                <w:rFonts w:cs="Times New Roman" w:asciiTheme="minorEastAsia" w:hAnsiTheme="minorEastAsia"/>
                <w:szCs w:val="21"/>
              </w:rPr>
              <w:t>（23±2）</w:t>
            </w:r>
            <w:r>
              <w:rPr>
                <w:rFonts w:hint="eastAsia" w:cs="宋体" w:asciiTheme="minorEastAsia" w:hAnsiTheme="minorEastAsia"/>
                <w:szCs w:val="21"/>
              </w:rPr>
              <w:t>℃，测量时间不少于</w:t>
            </w:r>
            <w:r>
              <w:rPr>
                <w:rFonts w:cs="Times New Roman" w:asciiTheme="minorEastAsia" w:hAnsiTheme="minorEastAsia"/>
                <w:szCs w:val="21"/>
              </w:rPr>
              <w:t>1000h</w:t>
            </w:r>
            <w:r>
              <w:rPr>
                <w:rFonts w:hint="eastAsia" w:cs="Times New Roman" w:asciiTheme="minorEastAsia" w:hAnsiTheme="minorEastAsia"/>
                <w:szCs w:val="21"/>
              </w:rPr>
              <w:t>，按照0h到10h，10h到100h，100h到1000h分为3个时间段，每时间段的测量值应不少于10个；</w:t>
            </w:r>
          </w:p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6.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cs="Times New Roman" w:asciiTheme="minorEastAsia" w:hAnsiTheme="minorEastAsia"/>
                <w:szCs w:val="21"/>
              </w:rPr>
              <w:t>.2.5</w:t>
            </w:r>
            <w:r>
              <w:rPr>
                <w:rFonts w:cs="Times New Roman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施加的压应力应为设计压应力</w:t>
            </w:r>
            <w:r>
              <w:rPr>
                <w:rFonts w:cs="Arial" w:asciiTheme="minorEastAsia" w:hAnsiTheme="minorEastAsia"/>
                <w:szCs w:val="24"/>
              </w:rPr>
              <w:t>σ</w:t>
            </w:r>
            <w:r>
              <w:rPr>
                <w:rFonts w:hint="eastAsia" w:cs="Times New Roman" w:asciiTheme="minorEastAsia" w:hAnsiTheme="minorEastAsia"/>
                <w:szCs w:val="21"/>
                <w:vertAlign w:val="subscript"/>
              </w:rPr>
              <w:t>0</w:t>
            </w:r>
            <w:r>
              <w:rPr>
                <w:rFonts w:hint="eastAsia" w:cs="Times New Roman" w:asciiTheme="minorEastAsia" w:hAnsiTheme="minorEastAsia"/>
                <w:szCs w:val="21"/>
              </w:rPr>
              <w:t>，加载时间应不小于1min，将压力达到指定值1min后的压缩取为零点，压缩位移的测量应均匀布置位移测量仪器，且不少于3个，压缩位移值应为各测点测量值的平均值；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6.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cs="Times New Roman" w:asciiTheme="minorEastAsia" w:hAnsiTheme="minorEastAsia"/>
                <w:szCs w:val="21"/>
              </w:rPr>
              <w:t>.2.6</w:t>
            </w:r>
            <w:r>
              <w:rPr>
                <w:rFonts w:cs="Times New Roman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当试验温度不是</w:t>
            </w:r>
            <w:r>
              <w:rPr>
                <w:rFonts w:hint="eastAsia" w:cs="宋体" w:asciiTheme="minorEastAsia" w:hAnsiTheme="minorEastAsia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szCs w:val="21"/>
              </w:rPr>
              <w:t>23</w:t>
            </w:r>
            <w:r>
              <w:rPr>
                <w:rFonts w:hint="eastAsia" w:cs="宋体" w:asciiTheme="minorEastAsia" w:hAnsiTheme="minorEastAsia"/>
                <w:szCs w:val="21"/>
              </w:rPr>
              <w:t>±2）℃时，竖向压缩位移值应按照下式换算为相当于</w:t>
            </w:r>
            <w:r>
              <w:rPr>
                <w:rFonts w:cs="Times New Roman" w:asciiTheme="minorEastAsia" w:hAnsiTheme="minorEastAsia"/>
                <w:szCs w:val="21"/>
              </w:rPr>
              <w:t>2</w:t>
            </w:r>
            <w:r>
              <w:rPr>
                <w:rFonts w:hint="eastAsia" w:cs="Times New Roman" w:asciiTheme="minorEastAsia" w:hAnsi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szCs w:val="21"/>
              </w:rPr>
              <w:t>℃时的值。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position w:val="-12"/>
                <w:szCs w:val="21"/>
              </w:rPr>
              <w:drawing>
                <wp:inline distT="0" distB="0" distL="114300" distR="114300">
                  <wp:extent cx="1828800" cy="236220"/>
                  <wp:effectExtent l="0" t="0" r="0" b="13335"/>
                  <wp:docPr id="44" name="对象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对象 13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式中：</w:t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position w:val="-12"/>
                <w:szCs w:val="24"/>
              </w:rPr>
              <w:drawing>
                <wp:inline distT="0" distB="0" distL="114300" distR="114300">
                  <wp:extent cx="362585" cy="236220"/>
                  <wp:effectExtent l="0" t="0" r="18415" b="12700"/>
                  <wp:docPr id="45" name="对象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对象 14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 w:asciiTheme="minorEastAsia" w:hAnsiTheme="minorEastAsia"/>
                <w:szCs w:val="24"/>
              </w:rPr>
              <w:t>──23℃时竖向压缩位移的变化值；</w:t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position w:val="-12"/>
                <w:szCs w:val="24"/>
              </w:rPr>
              <w:drawing>
                <wp:inline distT="0" distB="0" distL="114300" distR="114300">
                  <wp:extent cx="299720" cy="236220"/>
                  <wp:effectExtent l="0" t="0" r="5080" b="12700"/>
                  <wp:docPr id="46" name="对象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对象 142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 w:asciiTheme="minorEastAsia" w:hAnsiTheme="minorEastAsia"/>
                <w:szCs w:val="24"/>
              </w:rPr>
              <w:t xml:space="preserve"> ──温度T时竖向压缩位移的变化值</w:t>
            </w:r>
          </w:p>
          <w:p>
            <w:pPr>
              <w:widowControl/>
              <w:spacing w:line="360" w:lineRule="auto"/>
              <w:ind w:firstLine="210" w:firstLineChars="100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position w:val="-4"/>
                <w:szCs w:val="24"/>
              </w:rPr>
              <w:drawing>
                <wp:inline distT="0" distB="0" distL="114300" distR="114300">
                  <wp:extent cx="189230" cy="220980"/>
                  <wp:effectExtent l="0" t="0" r="0" b="5715"/>
                  <wp:docPr id="47" name="对象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对象 14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 w:asciiTheme="minorEastAsia" w:hAnsiTheme="minorEastAsia"/>
                <w:szCs w:val="24"/>
              </w:rPr>
              <w:t>──试件的表面温度（℃）；</w:t>
            </w:r>
          </w:p>
          <w:p>
            <w:pPr>
              <w:widowControl/>
              <w:spacing w:line="360" w:lineRule="auto"/>
              <w:ind w:firstLine="210" w:firstLineChars="100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position w:val="-6"/>
                <w:szCs w:val="24"/>
              </w:rPr>
              <w:drawing>
                <wp:inline distT="0" distB="0" distL="114300" distR="114300">
                  <wp:extent cx="157480" cy="141605"/>
                  <wp:effectExtent l="0" t="0" r="13970" b="12065"/>
                  <wp:docPr id="48" name="对象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对象 144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 w:asciiTheme="minorEastAsia" w:hAnsiTheme="minorEastAsia"/>
                <w:szCs w:val="24"/>
              </w:rPr>
              <w:t>──线性热膨胀系数（T到23℃）。</w:t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hint="eastAsia" w:cs="Times New Roman" w:asciiTheme="minorEastAsia" w:hAnsiTheme="minorEastAsia"/>
                <w:szCs w:val="24"/>
              </w:rPr>
              <w:t>每时间段的徐变应变按下列公式计算：</w:t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position w:val="-32"/>
                <w:szCs w:val="24"/>
              </w:rPr>
              <w:drawing>
                <wp:inline distT="0" distB="0" distL="114300" distR="114300">
                  <wp:extent cx="1403350" cy="535940"/>
                  <wp:effectExtent l="0" t="0" r="0" b="17145"/>
                  <wp:docPr id="49" name="对象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对象 145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hint="eastAsia" w:cs="Times New Roman" w:asciiTheme="minorEastAsia" w:hAnsiTheme="minorEastAsia"/>
                <w:szCs w:val="24"/>
              </w:rPr>
              <w:t>式中：</w:t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position w:val="-12"/>
                <w:szCs w:val="24"/>
              </w:rPr>
              <w:drawing>
                <wp:inline distT="0" distB="0" distL="114300" distR="114300">
                  <wp:extent cx="299720" cy="330835"/>
                  <wp:effectExtent l="0" t="0" r="5080" b="14605"/>
                  <wp:docPr id="60" name="对象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对象 14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 w:asciiTheme="minorEastAsia" w:hAnsiTheme="minorEastAsia"/>
                <w:szCs w:val="24"/>
              </w:rPr>
              <w:t>──23℃时的徐变应变（%）</w:t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hint="eastAsia" w:cs="Times New Roman" w:asciiTheme="minorEastAsia" w:hAnsiTheme="minorEastAsia"/>
                <w:szCs w:val="24"/>
              </w:rPr>
              <w:t>徐变应变与时间的关系见图20</w:t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szCs w:val="24"/>
              </w:rPr>
              <w:drawing>
                <wp:inline distT="0" distB="0" distL="0" distR="0">
                  <wp:extent cx="4682490" cy="2616835"/>
                  <wp:effectExtent l="0" t="0" r="3810" b="0"/>
                  <wp:docPr id="73" name="图片 73" descr="D:\我的文档\Tencent Files\420247797\Image\C2C\$)JRXP_JAHZHCK{{`%26%W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D:\我的文档\Tencent Files\420247797\Image\C2C\$)JRXP_JAHZHCK{{`%26%W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490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after="156" w:afterLines="50"/>
              <w:jc w:val="center"/>
              <w:rPr>
                <w:rFonts w:cs="Times New Roman" w:asciiTheme="minorEastAsia" w:hAnsiTheme="minorEastAsia"/>
                <w:b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Cs w:val="24"/>
              </w:rPr>
              <w:t>图20</w:t>
            </w:r>
            <w:r>
              <w:rPr>
                <w:rFonts w:cs="Times New Roman" w:asciiTheme="minorEastAsia" w:hAnsiTheme="minorEastAsia"/>
                <w:b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b/>
                <w:szCs w:val="24"/>
              </w:rPr>
              <w:t>徐变性能曲线</w:t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hint="eastAsia" w:cs="Times New Roman" w:asciiTheme="minorEastAsia" w:hAnsiTheme="minorEastAsia"/>
                <w:szCs w:val="24"/>
              </w:rPr>
              <w:t>从100h到1000h的测量数据，可采用最小二乘法绘制时间与徐变应变的对数图，确定下式中的系数a和b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position w:val="-12"/>
                <w:szCs w:val="24"/>
              </w:rPr>
              <w:drawing>
                <wp:inline distT="0" distB="0" distL="114300" distR="114300">
                  <wp:extent cx="1828800" cy="299720"/>
                  <wp:effectExtent l="0" t="0" r="0" b="3810"/>
                  <wp:docPr id="74" name="对象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对象 147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hint="eastAsia" w:cs="Times New Roman" w:asciiTheme="minorEastAsia" w:hAnsiTheme="minorEastAsia"/>
                <w:szCs w:val="24"/>
              </w:rPr>
              <w:t>式中：</w:t>
            </w:r>
          </w:p>
          <w:p>
            <w:pPr>
              <w:widowControl/>
              <w:spacing w:line="360" w:lineRule="auto"/>
              <w:ind w:firstLine="210" w:firstLineChars="100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position w:val="-4"/>
                <w:szCs w:val="24"/>
              </w:rPr>
              <w:drawing>
                <wp:inline distT="0" distB="0" distL="114300" distR="114300">
                  <wp:extent cx="110490" cy="157480"/>
                  <wp:effectExtent l="0" t="0" r="3810" b="15240"/>
                  <wp:docPr id="75" name="对象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对象 148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 w:asciiTheme="minorEastAsia" w:hAnsiTheme="minorEastAsia"/>
                <w:szCs w:val="24"/>
              </w:rPr>
              <w:t>──时间。</w:t>
            </w:r>
          </w:p>
          <w:p>
            <w:pPr>
              <w:widowControl/>
              <w:spacing w:line="360" w:lineRule="auto"/>
              <w:ind w:firstLine="210" w:firstLineChars="100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position w:val="-4"/>
                <w:szCs w:val="24"/>
              </w:rPr>
              <w:drawing>
                <wp:inline distT="0" distB="0" distL="114300" distR="114300">
                  <wp:extent cx="110490" cy="157480"/>
                  <wp:effectExtent l="0" t="0" r="3810" b="15240"/>
                  <wp:docPr id="76" name="对象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对象 149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 w:asciiTheme="minorEastAsia" w:hAnsiTheme="minorEastAsia"/>
                <w:szCs w:val="24"/>
              </w:rPr>
              <w:t>时刻的徐变量可由下式求得：</w:t>
            </w:r>
          </w:p>
          <w:p>
            <w:pPr>
              <w:widowControl/>
              <w:spacing w:line="360" w:lineRule="auto"/>
              <w:ind w:firstLine="210" w:firstLineChars="100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position w:val="-12"/>
                <w:szCs w:val="24"/>
              </w:rPr>
              <w:drawing>
                <wp:inline distT="0" distB="0" distL="114300" distR="114300">
                  <wp:extent cx="898525" cy="330835"/>
                  <wp:effectExtent l="0" t="0" r="15875" b="13335"/>
                  <wp:docPr id="77" name="对象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对象 150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6.5.2.7</w:t>
            </w:r>
            <w:r>
              <w:rPr>
                <w:rFonts w:cs="宋体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1"/>
              </w:rPr>
              <w:t>试件可为足尺支座、缩尺模型支座或剪切型橡胶支座。试件应在无水平位移的情况下按照指定的时间和温度施加恒定压力，测量其压缩位移，推算出支座使用多年后的徐变量；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6.5.2.8</w:t>
            </w:r>
            <w:r>
              <w:rPr>
                <w:rFonts w:cs="宋体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1"/>
              </w:rPr>
              <w:t>徐变性能试验装置如图21，施加的压力允许偏差±5%。试验过程中，压力允许偏差为±2%。位移测量仪器的精度为0.01mm</w:t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szCs w:val="24"/>
              </w:rPr>
              <w:drawing>
                <wp:inline distT="0" distB="0" distL="0" distR="0">
                  <wp:extent cx="2821940" cy="2348865"/>
                  <wp:effectExtent l="0" t="0" r="0" b="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940" cy="234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1——加载装置；2——试件；3——位移计；4——恒温箱；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Cs w:val="24"/>
              </w:rPr>
              <w:t>图21</w:t>
            </w:r>
            <w:r>
              <w:rPr>
                <w:rFonts w:cs="Times New Roman" w:asciiTheme="minorEastAsia" w:hAnsiTheme="minorEastAsia"/>
                <w:b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b/>
                <w:szCs w:val="24"/>
              </w:rPr>
              <w:t>徐变性能试验装置示意图</w:t>
            </w:r>
          </w:p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</w:trPr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Cs w:val="24"/>
              </w:rPr>
              <w:t>表</w:t>
            </w:r>
            <w:r>
              <w:rPr>
                <w:rFonts w:hint="eastAsia" w:cs="Times New Roman" w:asciiTheme="minorEastAsia" w:hAnsiTheme="minorEastAsia"/>
                <w:szCs w:val="21"/>
              </w:rPr>
              <w:t>6.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cs="Times New Roman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1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textAlignment w:val="center"/>
              <w:outlineLvl w:val="2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hint="eastAsia" w:cs="宋体" w:asciiTheme="minorEastAsia" w:hAnsiTheme="minorEastAsia"/>
                <w:szCs w:val="24"/>
              </w:rPr>
              <w:t>支座耐久性性能试验项目和要求</w:t>
            </w:r>
          </w:p>
          <w:tbl>
            <w:tblPr>
              <w:tblStyle w:val="9"/>
              <w:tblW w:w="8798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1"/>
              <w:gridCol w:w="1161"/>
              <w:gridCol w:w="2304"/>
              <w:gridCol w:w="1668"/>
              <w:gridCol w:w="2684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328" w:hRule="exact"/>
                <w:tblHeader/>
                <w:jc w:val="center"/>
              </w:trPr>
              <w:tc>
                <w:tcPr>
                  <w:tcW w:w="9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Times New Roman" w:asciiTheme="minorEastAsia" w:hAnsiTheme="minorEastAsia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szCs w:val="21"/>
                    </w:rPr>
                    <w:t>项目</w:t>
                  </w:r>
                </w:p>
              </w:tc>
              <w:tc>
                <w:tcPr>
                  <w:tcW w:w="1161" w:type="dxa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Times New Roman" w:asciiTheme="minorEastAsia" w:hAnsiTheme="minorEastAsia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szCs w:val="21"/>
                    </w:rPr>
                    <w:t>试验项目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Times New Roman" w:asciiTheme="minorEastAsia" w:hAnsiTheme="minorEastAsia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szCs w:val="21"/>
                    </w:rPr>
                    <w:t>试验方法和条件</w:t>
                  </w:r>
                </w:p>
              </w:tc>
              <w:tc>
                <w:tcPr>
                  <w:tcW w:w="1668" w:type="dxa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Times New Roman" w:asciiTheme="minorEastAsia" w:hAnsiTheme="minorEastAsia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szCs w:val="21"/>
                    </w:rPr>
                    <w:t>试件</w:t>
                  </w:r>
                </w:p>
              </w:tc>
              <w:tc>
                <w:tcPr>
                  <w:tcW w:w="2684" w:type="dxa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left="65" w:leftChars="31" w:right="71" w:rightChars="34"/>
                    <w:jc w:val="center"/>
                    <w:rPr>
                      <w:rFonts w:cs="Times New Roman" w:asciiTheme="minorEastAsia" w:hAnsiTheme="minorEastAsia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szCs w:val="21"/>
                    </w:rPr>
                    <w:t>合格判据或需测试的项目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88" w:hRule="atLeast"/>
                <w:jc w:val="center"/>
              </w:trPr>
              <w:tc>
                <w:tcPr>
                  <w:tcW w:w="981" w:type="dxa"/>
                  <w:vMerge w:val="restar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宋体" w:asciiTheme="minorEastAsia" w:hAnsiTheme="minorEastAsia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szCs w:val="21"/>
                    </w:rPr>
                    <w:t>耐久性能</w:t>
                  </w:r>
                </w:p>
              </w:tc>
              <w:tc>
                <w:tcPr>
                  <w:tcW w:w="116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宋体" w:asciiTheme="minorEastAsia" w:hAnsiTheme="minorEastAsia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szCs w:val="21"/>
                    </w:rPr>
                    <w:t>老化性能</w:t>
                  </w:r>
                </w:p>
              </w:tc>
              <w:tc>
                <w:tcPr>
                  <w:tcW w:w="230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宋体" w:asciiTheme="minorEastAsia" w:hAnsiTheme="minorEastAsia"/>
                      <w:szCs w:val="21"/>
                    </w:rPr>
                  </w:pPr>
                  <w:r>
                    <w:rPr>
                      <w:rFonts w:cs="宋体" w:asciiTheme="minorEastAsia" w:hAnsiTheme="minorEastAsia"/>
                      <w:szCs w:val="21"/>
                    </w:rPr>
                    <w:t>GB/T20688.1</w:t>
                  </w:r>
                  <w:r>
                    <w:rPr>
                      <w:rFonts w:hint="eastAsia" w:cs="宋体" w:asciiTheme="minorEastAsia" w:hAnsiTheme="minorEastAsia"/>
                      <w:szCs w:val="21"/>
                    </w:rPr>
                    <w:t>的</w:t>
                  </w:r>
                  <w:r>
                    <w:rPr>
                      <w:rFonts w:cs="宋体" w:asciiTheme="minorEastAsia" w:hAnsiTheme="minorEastAsia"/>
                      <w:szCs w:val="21"/>
                    </w:rPr>
                    <w:t>6.7.1</w:t>
                  </w:r>
                  <w:r>
                    <w:rPr>
                      <w:rFonts w:hint="eastAsia" w:cs="宋体" w:asciiTheme="minorEastAsia" w:hAnsiTheme="minorEastAsia"/>
                      <w:szCs w:val="21"/>
                    </w:rPr>
                    <w:t>条</w:t>
                  </w:r>
                </w:p>
              </w:tc>
              <w:tc>
                <w:tcPr>
                  <w:tcW w:w="166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宋体" w:asciiTheme="minorEastAsia" w:hAnsiTheme="minorEastAsia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szCs w:val="21"/>
                    </w:rPr>
                    <w:t>足尺支座、缩尺模型</w:t>
                  </w:r>
                  <w:r>
                    <w:rPr>
                      <w:rFonts w:cs="宋体" w:asciiTheme="minorEastAsia" w:hAnsiTheme="minorEastAsia"/>
                      <w:szCs w:val="21"/>
                    </w:rPr>
                    <w:t>A</w:t>
                  </w:r>
                  <w:r>
                    <w:rPr>
                      <w:rFonts w:hint="eastAsia" w:cs="宋体" w:asciiTheme="minorEastAsia" w:hAnsiTheme="minorEastAsia"/>
                      <w:szCs w:val="21"/>
                    </w:rPr>
                    <w:t>、标准试件或剪切型橡胶试件。</w:t>
                  </w:r>
                </w:p>
              </w:tc>
              <w:tc>
                <w:tcPr>
                  <w:tcW w:w="268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cs="宋体" w:asciiTheme="minorEastAsia" w:hAnsiTheme="minorEastAsia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szCs w:val="21"/>
                    </w:rPr>
                    <w:t>水平等效刚度</w:t>
                  </w:r>
                  <w:r>
                    <w:rPr>
                      <w:rFonts w:hint="eastAsia" w:cs="宋体" w:asciiTheme="minorEastAsia" w:hAnsiTheme="minorEastAsia"/>
                      <w:szCs w:val="21"/>
                    </w:rPr>
                    <w:drawing>
                      <wp:inline distT="0" distB="0" distL="0" distR="0">
                        <wp:extent cx="220980" cy="220980"/>
                        <wp:effectExtent l="0" t="0" r="7620" b="7620"/>
                        <wp:docPr id="87" name="图片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图片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8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Cs w:val="21"/>
                    </w:rPr>
                    <w:t>和等效阻尼比</w:t>
                  </w:r>
                  <w:r>
                    <w:rPr>
                      <w:rFonts w:hint="eastAsia" w:cs="宋体" w:asciiTheme="minorEastAsia" w:hAnsiTheme="minorEastAsia"/>
                      <w:szCs w:val="21"/>
                    </w:rPr>
                    <w:drawing>
                      <wp:inline distT="0" distB="0" distL="0" distR="0">
                        <wp:extent cx="220980" cy="236220"/>
                        <wp:effectExtent l="0" t="0" r="0" b="0"/>
                        <wp:docPr id="86" name="图片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图片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Cs w:val="21"/>
                    </w:rPr>
                    <w:t>的变化率应满足设计要求。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08" w:hRule="atLeast"/>
                <w:jc w:val="center"/>
              </w:trPr>
              <w:tc>
                <w:tcPr>
                  <w:tcW w:w="981" w:type="dxa"/>
                  <w:vMerge w:val="continue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宋体"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6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宋体" w:asciiTheme="minorEastAsia" w:hAnsiTheme="minorEastAsia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szCs w:val="21"/>
                    </w:rPr>
                    <w:t>徐变性能</w:t>
                  </w:r>
                </w:p>
              </w:tc>
              <w:tc>
                <w:tcPr>
                  <w:tcW w:w="230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宋体" w:asciiTheme="minorEastAsia" w:hAnsiTheme="minorEastAsia"/>
                      <w:szCs w:val="21"/>
                    </w:rPr>
                  </w:pPr>
                  <w:r>
                    <w:rPr>
                      <w:rFonts w:cs="宋体" w:asciiTheme="minorEastAsia" w:hAnsiTheme="minorEastAsia"/>
                      <w:szCs w:val="21"/>
                    </w:rPr>
                    <w:t>GB/T20688.1</w:t>
                  </w:r>
                  <w:r>
                    <w:rPr>
                      <w:rFonts w:hint="eastAsia" w:cs="宋体" w:asciiTheme="minorEastAsia" w:hAnsiTheme="minorEastAsia"/>
                      <w:szCs w:val="21"/>
                    </w:rPr>
                    <w:t>的</w:t>
                  </w:r>
                  <w:r>
                    <w:rPr>
                      <w:rFonts w:cs="宋体" w:asciiTheme="minorEastAsia" w:hAnsiTheme="minorEastAsia"/>
                      <w:szCs w:val="21"/>
                    </w:rPr>
                    <w:t>6.7.2</w:t>
                  </w:r>
                  <w:r>
                    <w:rPr>
                      <w:rFonts w:hint="eastAsia" w:cs="宋体" w:asciiTheme="minorEastAsia" w:hAnsiTheme="minorEastAsia"/>
                      <w:szCs w:val="21"/>
                    </w:rPr>
                    <w:t>条</w:t>
                  </w:r>
                </w:p>
              </w:tc>
              <w:tc>
                <w:tcPr>
                  <w:tcW w:w="166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宋体" w:asciiTheme="minorEastAsia" w:hAnsiTheme="minorEastAsia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szCs w:val="21"/>
                    </w:rPr>
                    <w:t>足尺支座、缩尺模型支座。</w:t>
                  </w:r>
                </w:p>
              </w:tc>
              <w:tc>
                <w:tcPr>
                  <w:tcW w:w="268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cs="宋体" w:asciiTheme="minorEastAsia" w:hAnsiTheme="minorEastAsia"/>
                      <w:szCs w:val="21"/>
                    </w:rPr>
                  </w:pPr>
                  <w:r>
                    <w:rPr>
                      <w:rFonts w:cs="宋体" w:asciiTheme="minorEastAsia" w:hAnsiTheme="minorEastAsia"/>
                      <w:szCs w:val="21"/>
                    </w:rPr>
                    <w:t>60</w:t>
                  </w:r>
                  <w:r>
                    <w:rPr>
                      <w:rFonts w:hint="eastAsia" w:cs="宋体" w:asciiTheme="minorEastAsia" w:hAnsiTheme="minorEastAsia"/>
                      <w:szCs w:val="21"/>
                    </w:rPr>
                    <w:t>年徐变量不应超过</w:t>
                  </w:r>
                  <w:r>
                    <w:rPr>
                      <w:rFonts w:cs="宋体" w:asciiTheme="minorEastAsia" w:hAnsiTheme="minorEastAsia"/>
                      <w:szCs w:val="21"/>
                    </w:rPr>
                    <w:t>10%</w:t>
                  </w:r>
                  <w:r>
                    <w:rPr>
                      <w:rFonts w:hint="eastAsia" w:cs="宋体" w:asciiTheme="minorEastAsia" w:hAnsiTheme="minorEastAsia"/>
                      <w:szCs w:val="21"/>
                    </w:rPr>
                    <w:t>。</w:t>
                  </w:r>
                </w:p>
              </w:tc>
            </w:tr>
          </w:tbl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修改表6.5.1序号变更为6.5.4，并添加疲劳性能规定</w:t>
            </w:r>
          </w:p>
        </w:tc>
        <w:tc>
          <w:tcPr>
            <w:tcW w:w="3386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</w:p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</w:p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耐久性能主要包括：老化性能、徐变性能、疲劳性能三个方面。</w:t>
            </w:r>
          </w:p>
        </w:tc>
        <w:tc>
          <w:tcPr>
            <w:tcW w:w="102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drawing>
                <wp:inline distT="0" distB="0" distL="114300" distR="114300">
                  <wp:extent cx="6373495" cy="2447290"/>
                  <wp:effectExtent l="0" t="0" r="8255" b="10160"/>
                  <wp:docPr id="8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495" cy="244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eastAsia" w:cs="宋体" w:asciiTheme="minorEastAsia" w:hAnsiTheme="minorEastAsia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7.3/7.4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修订</w:t>
            </w:r>
          </w:p>
        </w:tc>
        <w:tc>
          <w:tcPr>
            <w:tcW w:w="3386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</w:p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eastAsia" w:cs="宋体" w:asciiTheme="minorEastAsia" w:hAnsiTheme="minorEastAsia" w:eastAsiaTheme="minorEastAsia"/>
                <w:sz w:val="28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出厂检验引用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《建筑隔震橡胶支座》JG118-2018</w:t>
            </w:r>
          </w:p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eastAsia" w:cs="宋体" w:asciiTheme="minorEastAsia" w:hAnsiTheme="minorEastAsia" w:eastAsiaTheme="minorEastAsia"/>
                <w:sz w:val="28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增加见证检测要求</w:t>
            </w:r>
          </w:p>
        </w:tc>
        <w:tc>
          <w:tcPr>
            <w:tcW w:w="10266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hint="eastAsia" w:cs="宋体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7.1.1.</w:t>
            </w:r>
            <w:r>
              <w:rPr>
                <w:rFonts w:hint="eastAsia" w:cs="宋体"/>
                <w:color w:val="auto"/>
              </w:rPr>
              <w:t>应用于建筑工程的隔震支座必须进行型式检验、出厂检验、</w:t>
            </w:r>
            <w:r>
              <w:rPr>
                <w:rFonts w:hint="eastAsia" w:cs="宋体"/>
                <w:color w:val="auto"/>
                <w:highlight w:val="none"/>
              </w:rPr>
              <w:t>见证检验和进场验收。</w:t>
            </w:r>
          </w:p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hint="eastAsia" w:cs="宋体"/>
              </w:rPr>
            </w:pPr>
            <w:r>
              <w:rPr>
                <w:rFonts w:hint="eastAsia" w:cs="宋体"/>
                <w:color w:val="auto"/>
                <w:highlight w:val="none"/>
                <w:lang w:val="en-US" w:eastAsia="zh-CN"/>
              </w:rPr>
              <w:t>7.1.3</w:t>
            </w:r>
            <w:r>
              <w:rPr>
                <w:rFonts w:hint="eastAsia" w:cs="宋体"/>
                <w:color w:val="auto"/>
              </w:rPr>
              <w:t>隔震支座出厂</w:t>
            </w:r>
            <w:r>
              <w:rPr>
                <w:rFonts w:hint="eastAsia" w:cs="宋体"/>
                <w:color w:val="auto"/>
                <w:lang w:eastAsia="zh-CN"/>
              </w:rPr>
              <w:t>检验</w:t>
            </w:r>
            <w:r>
              <w:rPr>
                <w:rFonts w:hint="eastAsia" w:cs="宋体"/>
                <w:color w:val="auto"/>
              </w:rPr>
              <w:t>应由制造厂的</w:t>
            </w:r>
            <w:r>
              <w:rPr>
                <w:rFonts w:hint="eastAsia" w:cs="宋体"/>
                <w:color w:val="auto"/>
                <w:lang w:eastAsia="zh-CN"/>
              </w:rPr>
              <w:t>质检</w:t>
            </w:r>
            <w:r>
              <w:rPr>
                <w:rFonts w:hint="eastAsia" w:cs="宋体"/>
                <w:color w:val="auto"/>
              </w:rPr>
              <w:t>部门自检</w:t>
            </w:r>
            <w:r>
              <w:rPr>
                <w:rFonts w:hint="eastAsia" w:cs="宋体"/>
                <w:color w:val="auto"/>
                <w:lang w:eastAsia="zh-CN"/>
              </w:rPr>
              <w:t>或独立的</w:t>
            </w:r>
            <w:r>
              <w:rPr>
                <w:rFonts w:hint="eastAsia" w:cs="宋体"/>
                <w:color w:val="auto"/>
              </w:rPr>
              <w:t>第三方检测机构检验，方可</w:t>
            </w:r>
            <w:r>
              <w:rPr>
                <w:rFonts w:hint="eastAsia" w:cs="宋体"/>
              </w:rPr>
              <w:t>出厂。</w:t>
            </w:r>
            <w:bookmarkStart w:id="2" w:name="_Toc116967541"/>
          </w:p>
          <w:bookmarkEnd w:id="2"/>
          <w:p>
            <w:pPr>
              <w:widowControl/>
              <w:numPr>
                <w:ilvl w:val="0"/>
                <w:numId w:val="0"/>
              </w:numPr>
              <w:tabs>
                <w:tab w:val="left" w:pos="425"/>
                <w:tab w:val="left" w:pos="720"/>
              </w:tabs>
              <w:adjustRightInd w:val="0"/>
              <w:snapToGrid w:val="0"/>
              <w:spacing w:line="300" w:lineRule="auto"/>
              <w:ind w:left="0" w:firstLine="0"/>
              <w:jc w:val="left"/>
              <w:outlineLvl w:val="9"/>
              <w:rPr>
                <w:rFonts w:hint="eastAsia" w:cs="宋体"/>
                <w:color w:val="auto"/>
                <w:kern w:val="2"/>
                <w:sz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kern w:val="2"/>
                <w:sz w:val="21"/>
                <w:highlight w:val="none"/>
              </w:rPr>
              <w:t>7.4.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  <w:lang w:eastAsia="zh-CN"/>
              </w:rPr>
              <w:t>1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</w:rPr>
              <w:t>见证检验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  <w:lang w:eastAsia="zh-CN"/>
              </w:rPr>
              <w:t>应在监理单位见证下从项目的产品中随机抽取，并做永久标识。检测机构应对抽样样品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</w:rPr>
              <w:t>先进行竖向压缩性能和剪切性能检验，合格后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  <w:lang w:eastAsia="zh-CN"/>
              </w:rPr>
              <w:t>进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</w:rPr>
              <w:t>行水平极限性能检测，即设计应力下水平极限剪应变不小于4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  <w:lang w:eastAsia="zh-CN"/>
              </w:rPr>
              <w:t>5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</w:rPr>
              <w:t>0%，被检测产品检测后不得再应用于工程项目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425"/>
                <w:tab w:val="left" w:pos="720"/>
              </w:tabs>
              <w:adjustRightInd w:val="0"/>
              <w:snapToGrid w:val="0"/>
              <w:spacing w:line="300" w:lineRule="auto"/>
              <w:ind w:left="0" w:firstLine="0"/>
              <w:jc w:val="left"/>
              <w:outlineLvl w:val="9"/>
              <w:rPr>
                <w:rFonts w:hint="eastAsia" w:cs="宋体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kern w:val="2"/>
                <w:sz w:val="21"/>
                <w:highlight w:val="none"/>
                <w:lang w:val="en-US" w:eastAsia="zh-CN"/>
              </w:rPr>
              <w:t>7.4.2</w:t>
            </w:r>
            <w:r>
              <w:rPr>
                <w:rFonts w:hint="eastAsia" w:cs="宋体"/>
                <w:color w:val="auto"/>
                <w:highlight w:val="none"/>
              </w:rPr>
              <w:t>当建筑结构设计对支座有抗拉要求时，则应进行拉伸性能的试验。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425"/>
                <w:tab w:val="left" w:pos="720"/>
              </w:tabs>
              <w:adjustRightInd w:val="0"/>
              <w:snapToGrid w:val="0"/>
              <w:spacing w:line="300" w:lineRule="auto"/>
              <w:ind w:left="0" w:firstLine="0" w:firstLineChars="0"/>
              <w:jc w:val="left"/>
              <w:outlineLvl w:val="9"/>
              <w:rPr>
                <w:rFonts w:hint="default" w:cs="宋体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kern w:val="2"/>
                <w:sz w:val="21"/>
                <w:highlight w:val="none"/>
              </w:rPr>
              <w:t>7.4.3随即抽取样品，</w:t>
            </w:r>
            <w:r>
              <w:rPr>
                <w:rFonts w:hint="eastAsia" w:ascii="Times New Roman" w:hAnsi="Times New Roman" w:cs="宋体"/>
                <w:color w:val="auto"/>
                <w:kern w:val="2"/>
                <w:sz w:val="21"/>
                <w:highlight w:val="none"/>
              </w:rPr>
              <w:t>当同一项目同一生产厂家的产品总数量不大于100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</w:rPr>
              <w:t>件时，选取最大规格产品1件</w:t>
            </w:r>
            <w:r>
              <w:rPr>
                <w:rFonts w:hint="eastAsia" w:ascii="Times New Roman" w:hAnsi="Times New Roman" w:cs="宋体"/>
                <w:color w:val="auto"/>
                <w:kern w:val="2"/>
                <w:sz w:val="21"/>
                <w:highlight w:val="none"/>
              </w:rPr>
              <w:t>。当同一项目同一生产厂家的产品总数量大于100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</w:rPr>
              <w:t>件时，应适当增加检测数量并且不少于2件，其中1件样品从最大规格的产品中随机抽取，另外的样品由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  <w:lang w:eastAsia="zh-CN"/>
              </w:rPr>
              <w:t>监理</w:t>
            </w:r>
            <w:r>
              <w:rPr>
                <w:rFonts w:hint="eastAsia" w:cs="宋体"/>
                <w:color w:val="auto"/>
                <w:kern w:val="2"/>
                <w:sz w:val="21"/>
                <w:highlight w:val="none"/>
              </w:rPr>
              <w:t>单位随机抽取。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7.6.3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bookmarkStart w:id="3" w:name="_Ref334310527"/>
            <w:r>
              <w:rPr>
                <w:rFonts w:hint="eastAsia" w:cs="宋体" w:asciiTheme="minorEastAsia" w:hAnsiTheme="minorEastAsia"/>
                <w:sz w:val="28"/>
                <w:szCs w:val="24"/>
              </w:rPr>
              <w:t xml:space="preserve">7.6.3  </w:t>
            </w:r>
            <w:r>
              <w:rPr>
                <w:rFonts w:cs="宋体" w:asciiTheme="minorEastAsia" w:hAnsiTheme="minorEastAsia"/>
                <w:sz w:val="28"/>
                <w:szCs w:val="24"/>
              </w:rPr>
              <w:t>I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型、</w:t>
            </w:r>
            <w:r>
              <w:rPr>
                <w:rFonts w:cs="宋体" w:asciiTheme="minorEastAsia" w:hAnsiTheme="minorEastAsia"/>
                <w:sz w:val="28"/>
                <w:szCs w:val="24"/>
              </w:rPr>
              <w:t>II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型和设暗销的</w:t>
            </w:r>
            <w:r>
              <w:rPr>
                <w:rFonts w:cs="宋体" w:asciiTheme="minorEastAsia" w:hAnsiTheme="minorEastAsia"/>
                <w:sz w:val="28"/>
                <w:szCs w:val="24"/>
              </w:rPr>
              <w:t>III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型支座的平面尺寸的偏差应符合表</w:t>
            </w:r>
            <w:r>
              <w:rPr>
                <w:rFonts w:cs="宋体" w:asciiTheme="minorEastAsia" w:hAnsiTheme="minorEastAsia"/>
                <w:sz w:val="28"/>
                <w:szCs w:val="24"/>
              </w:rPr>
              <w:fldChar w:fldCharType="begin"/>
            </w:r>
            <w:r>
              <w:rPr>
                <w:rFonts w:cs="宋体" w:asciiTheme="minorEastAsia" w:hAnsiTheme="minorEastAsia"/>
                <w:sz w:val="28"/>
                <w:szCs w:val="24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instrText xml:space="preserve">REF _Ref334310527 \r \h</w:instrText>
            </w:r>
            <w:r>
              <w:rPr>
                <w:rFonts w:cs="宋体" w:asciiTheme="minorEastAsia" w:hAnsiTheme="minorEastAsia"/>
                <w:sz w:val="28"/>
                <w:szCs w:val="24"/>
              </w:rPr>
              <w:instrText xml:space="preserve">  \* MERGEFORMAT </w:instrText>
            </w:r>
            <w:r>
              <w:rPr>
                <w:rFonts w:cs="宋体" w:asciiTheme="minorEastAsia" w:hAnsiTheme="minorEastAsia"/>
                <w:sz w:val="28"/>
                <w:szCs w:val="24"/>
              </w:rPr>
              <w:fldChar w:fldCharType="separate"/>
            </w:r>
            <w:r>
              <w:rPr>
                <w:rFonts w:ascii="MS Gothic" w:hAnsi="MS Gothic" w:eastAsia="MS Gothic" w:cs="MS Gothic"/>
                <w:sz w:val="28"/>
                <w:szCs w:val="24"/>
              </w:rPr>
              <w:t>0</w:t>
            </w:r>
            <w:r>
              <w:rPr>
                <w:rFonts w:cs="宋体" w:asciiTheme="minorEastAsia" w:hAnsiTheme="minorEastAsia"/>
                <w:sz w:val="28"/>
                <w:szCs w:val="24"/>
              </w:rPr>
              <w:fldChar w:fldCharType="end"/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的规定。对于设凹槽的</w:t>
            </w:r>
            <w:r>
              <w:rPr>
                <w:rFonts w:cs="宋体" w:asciiTheme="minorEastAsia" w:hAnsiTheme="minorEastAsia"/>
                <w:sz w:val="28"/>
                <w:szCs w:val="24"/>
              </w:rPr>
              <w:t>III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型支座，其平面尺寸允许偏差可取</w:t>
            </w:r>
            <w:r>
              <w:rPr>
                <w:rFonts w:cs="宋体" w:asciiTheme="minorEastAsia" w:hAnsiTheme="minorEastAsia"/>
                <w:sz w:val="28"/>
                <w:szCs w:val="24"/>
              </w:rPr>
              <w:t>2mm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或</w:t>
            </w:r>
            <w:r>
              <w:rPr>
                <w:rFonts w:cs="宋体" w:asciiTheme="minorEastAsia" w:hAnsiTheme="minorEastAsia"/>
                <w:sz w:val="28"/>
                <w:szCs w:val="24"/>
              </w:rPr>
              <w:t>0.4%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中的较大值。</w:t>
            </w:r>
            <w:bookmarkEnd w:id="3"/>
          </w:p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变更序号为7.7.3，并删除Ⅲ型支座的相关规定</w:t>
            </w:r>
          </w:p>
        </w:tc>
        <w:tc>
          <w:tcPr>
            <w:tcW w:w="3386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我省隔震支座生产及工程使用未涉及Ⅲ型支座</w:t>
            </w:r>
          </w:p>
        </w:tc>
        <w:tc>
          <w:tcPr>
            <w:tcW w:w="10266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7.7.3 I型、II型平面尺寸的偏差应符合表7.7.3的规定。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eastAsia" w:cs="宋体" w:asciiTheme="minorEastAsia" w:hAnsiTheme="minorEastAsia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7.6.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4</w:t>
            </w:r>
          </w:p>
        </w:tc>
        <w:tc>
          <w:tcPr>
            <w:tcW w:w="7887" w:type="dxa"/>
            <w:vAlign w:val="center"/>
          </w:tcPr>
          <w:p>
            <w:pPr>
              <w:numPr>
                <w:ilvl w:val="2"/>
                <w:numId w:val="3"/>
              </w:numPr>
              <w:snapToGrid w:val="0"/>
              <w:spacing w:line="300" w:lineRule="auto"/>
              <w:ind w:left="0" w:firstLine="0"/>
              <w:jc w:val="left"/>
              <w:textAlignment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支座产品水平度的允许偏差为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795655" cy="237490"/>
                  <wp:effectExtent l="0" t="0" r="4445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且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605790" cy="249555"/>
                  <wp:effectExtent l="0" t="0" r="3810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mm。</w:t>
            </w:r>
          </w:p>
          <w:p>
            <w:pPr>
              <w:wordWrap w:val="0"/>
              <w:snapToGrid w:val="0"/>
              <w:ind w:firstLine="2768" w:firstLineChars="1003"/>
              <w:jc w:val="left"/>
              <w:rPr>
                <w:rFonts w:cs="Times New Roman" w:asciiTheme="minorEastAsia" w:hAnsiTheme="minorEastAsia"/>
                <w:sz w:val="28"/>
                <w:szCs w:val="24"/>
              </w:rPr>
            </w:pPr>
            <w:r>
              <w:rPr>
                <w:rFonts w:cs="Times New Roman" w:asciiTheme="minorEastAsia" w:hAnsiTheme="minorEastAsia"/>
                <w:spacing w:val="-2"/>
                <w:position w:val="-34"/>
                <w:sz w:val="28"/>
                <w:szCs w:val="24"/>
              </w:rPr>
              <w:drawing>
                <wp:inline distT="0" distB="0" distL="0" distR="0">
                  <wp:extent cx="605790" cy="510540"/>
                  <wp:effectExtent l="0" t="0" r="3810" b="381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>或</w:t>
            </w:r>
            <w:r>
              <w:rPr>
                <w:rFonts w:cs="Times New Roman" w:asciiTheme="minorEastAsia" w:hAnsiTheme="minorEastAsia"/>
                <w:position w:val="-30"/>
                <w:sz w:val="28"/>
                <w:szCs w:val="24"/>
              </w:rPr>
              <w:drawing>
                <wp:inline distT="0" distB="0" distL="0" distR="0">
                  <wp:extent cx="260985" cy="451485"/>
                  <wp:effectExtent l="0" t="0" r="5715" b="5715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 xml:space="preserve">  </w:t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 xml:space="preserve">             </w:t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 xml:space="preserve"> </w:t>
            </w:r>
          </w:p>
          <w:p>
            <w:pPr>
              <w:ind w:firstLine="700" w:firstLineChars="250"/>
              <w:jc w:val="left"/>
              <w:rPr>
                <w:rFonts w:cs="Times New Roman" w:asciiTheme="minorEastAsia" w:hAnsiTheme="minorEastAsia"/>
                <w:spacing w:val="-2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式中：</w:t>
            </w:r>
            <w:r>
              <w:rPr>
                <w:rFonts w:hint="eastAsia" w:cs="Times New Roman" w:asciiTheme="minorEastAsia" w:hAnsiTheme="minorEastAsia"/>
                <w:spacing w:val="-2"/>
                <w:position w:val="-4"/>
                <w:sz w:val="28"/>
                <w:szCs w:val="24"/>
              </w:rPr>
              <w:drawing>
                <wp:inline distT="0" distB="0" distL="0" distR="0">
                  <wp:extent cx="178435" cy="166370"/>
                  <wp:effectExtent l="0" t="0" r="0" b="508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pacing w:val="-2"/>
                <w:sz w:val="28"/>
                <w:szCs w:val="24"/>
              </w:rPr>
              <w:t>——</w:t>
            </w:r>
            <w:r>
              <w:rPr>
                <w:rFonts w:hint="eastAsia" w:cs="宋体" w:asciiTheme="minorEastAsia" w:hAnsiTheme="minorEastAsia"/>
                <w:spacing w:val="-2"/>
                <w:sz w:val="28"/>
                <w:szCs w:val="24"/>
              </w:rPr>
              <w:t>水平度；</w:t>
            </w:r>
          </w:p>
          <w:p>
            <w:pPr>
              <w:ind w:left="2117" w:leftChars="547" w:hanging="968" w:hangingChars="346"/>
              <w:jc w:val="left"/>
              <w:textAlignment w:val="center"/>
              <w:rPr>
                <w:rFonts w:cs="Times New Roman" w:asciiTheme="minorEastAsia" w:hAnsiTheme="minorEastAsia"/>
                <w:sz w:val="28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178435" cy="225425"/>
                  <wp:effectExtent l="0" t="0" r="0" b="3175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>——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>在通过支座中心的直线的两端点所测的支座高度之差（mm），如图所示；</w:t>
            </w:r>
          </w:p>
          <w:p>
            <w:pPr>
              <w:ind w:left="2117" w:leftChars="547" w:hanging="968" w:hangingChars="346"/>
              <w:jc w:val="left"/>
              <w:textAlignment w:val="center"/>
              <w:rPr>
                <w:rFonts w:cs="Times New Roman" w:asciiTheme="minorEastAsia" w:hAnsiTheme="minorEastAsia"/>
                <w:sz w:val="28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225425" cy="237490"/>
                  <wp:effectExtent l="0" t="0" r="3175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>——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>圆形连接板直径（mm），如图</w:t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fldChar w:fldCharType="begin"/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instrText xml:space="preserve"> REF _Ref334311120 \r \h  \* MERGEFORMAT </w:instrText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fldChar w:fldCharType="end"/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>所示；</w:t>
            </w:r>
          </w:p>
          <w:p>
            <w:pPr>
              <w:ind w:left="2117" w:leftChars="547" w:hanging="968" w:hangingChars="346"/>
              <w:jc w:val="left"/>
              <w:textAlignment w:val="center"/>
              <w:rPr>
                <w:rFonts w:cs="Times New Roman" w:asciiTheme="minorEastAsia" w:hAnsiTheme="minorEastAsia"/>
                <w:sz w:val="28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189865" cy="189865"/>
                  <wp:effectExtent l="0" t="0" r="635" b="635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>——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>圆形支座包括保护层厚度的外部直径（mm）。</w:t>
            </w:r>
          </w:p>
          <w:p>
            <w:pPr>
              <w:jc w:val="center"/>
              <w:rPr>
                <w:rFonts w:cs="Times New Roman" w:asciiTheme="minorEastAsia" w:hAnsiTheme="minorEastAsia"/>
                <w:sz w:val="28"/>
                <w:szCs w:val="24"/>
              </w:rPr>
            </w:pPr>
            <w:r>
              <w:rPr>
                <w:rFonts w:cs="Times New Roman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4773930" cy="1377315"/>
                  <wp:effectExtent l="0" t="0" r="762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93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ind w:firstLine="41" w:firstLineChars="15"/>
              <w:jc w:val="center"/>
              <w:rPr>
                <w:rFonts w:cs="Times New Roman" w:asciiTheme="minorEastAsia" w:hAnsiTheme="minorEastAsia"/>
                <w:b/>
                <w:bCs/>
                <w:spacing w:val="-2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pacing w:val="-2"/>
                <w:sz w:val="28"/>
                <w:szCs w:val="24"/>
              </w:rPr>
              <w:t>Ⅰ</w:t>
            </w:r>
            <w:r>
              <w:rPr>
                <w:rFonts w:hint="eastAsia" w:cs="宋体" w:asciiTheme="minorEastAsia" w:hAnsiTheme="minorEastAsia"/>
                <w:spacing w:val="-2"/>
                <w:sz w:val="28"/>
                <w:szCs w:val="24"/>
              </w:rPr>
              <w:t>型和Ⅱ型（安装连接板后）</w:t>
            </w:r>
            <w:r>
              <w:rPr>
                <w:rFonts w:cs="Times New Roman" w:asciiTheme="minorEastAsia" w:hAnsiTheme="minorEastAsia"/>
                <w:b/>
                <w:bCs/>
                <w:spacing w:val="-2"/>
                <w:sz w:val="28"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b/>
                <w:bCs/>
                <w:spacing w:val="-2"/>
                <w:sz w:val="28"/>
                <w:szCs w:val="24"/>
              </w:rPr>
              <w:t xml:space="preserve">        </w:t>
            </w:r>
            <w:r>
              <w:rPr>
                <w:rFonts w:hint="eastAsia" w:cs="宋体" w:asciiTheme="minorEastAsia" w:hAnsiTheme="minorEastAsia"/>
                <w:spacing w:val="-2"/>
                <w:sz w:val="28"/>
                <w:szCs w:val="24"/>
              </w:rPr>
              <w:t>Ⅲ型</w:t>
            </w:r>
          </w:p>
          <w:p>
            <w:pPr>
              <w:snapToGrid w:val="0"/>
              <w:ind w:firstLine="40" w:firstLineChars="15"/>
              <w:jc w:val="center"/>
              <w:rPr>
                <w:rFonts w:cs="Times New Roman" w:asciiTheme="minorEastAsia" w:hAnsiTheme="minorEastAsia"/>
                <w:spacing w:val="-2"/>
                <w:sz w:val="28"/>
                <w:szCs w:val="24"/>
              </w:rPr>
            </w:pPr>
            <w:r>
              <w:rPr>
                <w:rFonts w:cs="Times New Roman" w:asciiTheme="minorEastAsia" w:hAnsiTheme="minorEastAsia"/>
                <w:spacing w:val="-4"/>
                <w:sz w:val="28"/>
                <w:szCs w:val="24"/>
              </w:rPr>
              <w:t>图</w:t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fldChar w:fldCharType="begin"/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instrText xml:space="preserve"> REF _Ref334311120 \r \h  \* MERGEFORMAT </w:instrText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fldChar w:fldCharType="end"/>
            </w:r>
            <w:r>
              <w:rPr>
                <w:rFonts w:cs="Times New Roman" w:asciiTheme="minorEastAsia" w:hAnsiTheme="minorEastAsia"/>
                <w:spacing w:val="-4"/>
                <w:sz w:val="28"/>
                <w:szCs w:val="24"/>
              </w:rPr>
              <w:t xml:space="preserve"> 平整度的测量</w:t>
            </w:r>
          </w:p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平整度修订</w:t>
            </w:r>
          </w:p>
        </w:tc>
        <w:tc>
          <w:tcPr>
            <w:tcW w:w="3386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hint="eastAsia" w:cs="宋体" w:asciiTheme="minorEastAsia" w:hAnsiTheme="minorEastAsia" w:eastAsiaTheme="minorEastAsia"/>
                <w:sz w:val="28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引用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《建筑隔震橡胶支座》JG118-2018</w:t>
            </w:r>
          </w:p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</w:p>
        </w:tc>
        <w:tc>
          <w:tcPr>
            <w:tcW w:w="10266" w:type="dxa"/>
            <w:vAlign w:val="center"/>
          </w:tcPr>
          <w:p>
            <w:pPr>
              <w:snapToGrid w:val="0"/>
              <w:spacing w:before="312" w:beforeLines="100" w:line="300" w:lineRule="auto"/>
              <w:jc w:val="left"/>
              <w:textAlignment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7.6.4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支座产品水平度的允许偏差为：法兰板直径或对角线长度的1/300。直径或短边边长不小于1200mm时，取直径或测量长度的1/400和3mm的较小值；直径和短边边长为1500mm时，取直径或测量长度的1/300；直径或短边长介于1200mm和1500mm之间，可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插值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。</w:t>
            </w:r>
          </w:p>
          <w:p>
            <w:pPr>
              <w:wordWrap w:val="0"/>
              <w:snapToGrid w:val="0"/>
              <w:ind w:firstLine="2768" w:firstLineChars="1003"/>
              <w:jc w:val="left"/>
              <w:rPr>
                <w:rFonts w:cs="Times New Roman" w:asciiTheme="minorEastAsia" w:hAnsiTheme="minorEastAsia"/>
                <w:sz w:val="28"/>
                <w:szCs w:val="24"/>
              </w:rPr>
            </w:pPr>
            <w:r>
              <w:rPr>
                <w:rFonts w:cs="Times New Roman" w:asciiTheme="minorEastAsia" w:hAnsiTheme="minorEastAsia"/>
                <w:spacing w:val="-2"/>
                <w:position w:val="-34"/>
                <w:sz w:val="28"/>
                <w:szCs w:val="24"/>
              </w:rPr>
              <w:drawing>
                <wp:inline distT="0" distB="0" distL="0" distR="0">
                  <wp:extent cx="605790" cy="510540"/>
                  <wp:effectExtent l="0" t="0" r="3810" b="381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>或</w:t>
            </w:r>
            <w:r>
              <w:rPr>
                <w:rFonts w:cs="Times New Roman" w:asciiTheme="minorEastAsia" w:hAnsiTheme="minorEastAsia"/>
                <w:position w:val="-30"/>
                <w:sz w:val="28"/>
                <w:szCs w:val="24"/>
              </w:rPr>
              <w:drawing>
                <wp:inline distT="0" distB="0" distL="0" distR="0">
                  <wp:extent cx="260985" cy="451485"/>
                  <wp:effectExtent l="0" t="0" r="5715" b="5715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 xml:space="preserve">  </w:t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 xml:space="preserve">             </w:t>
            </w:r>
          </w:p>
          <w:p>
            <w:pPr>
              <w:ind w:firstLine="700" w:firstLineChars="250"/>
              <w:jc w:val="left"/>
              <w:rPr>
                <w:rFonts w:cs="Times New Roman" w:asciiTheme="minorEastAsia" w:hAnsiTheme="minorEastAsia"/>
                <w:spacing w:val="-2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式中：</w:t>
            </w:r>
            <w:r>
              <w:rPr>
                <w:rFonts w:hint="eastAsia" w:cs="Times New Roman" w:asciiTheme="minorEastAsia" w:hAnsiTheme="minorEastAsia"/>
                <w:spacing w:val="-2"/>
                <w:position w:val="-4"/>
                <w:sz w:val="28"/>
                <w:szCs w:val="24"/>
              </w:rPr>
              <w:drawing>
                <wp:inline distT="0" distB="0" distL="0" distR="0">
                  <wp:extent cx="178435" cy="166370"/>
                  <wp:effectExtent l="0" t="0" r="0" b="508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pacing w:val="-2"/>
                <w:sz w:val="28"/>
                <w:szCs w:val="24"/>
              </w:rPr>
              <w:t>——</w:t>
            </w:r>
            <w:r>
              <w:rPr>
                <w:rFonts w:hint="eastAsia" w:cs="宋体" w:asciiTheme="minorEastAsia" w:hAnsiTheme="minorEastAsia"/>
                <w:spacing w:val="-2"/>
                <w:sz w:val="28"/>
                <w:szCs w:val="24"/>
              </w:rPr>
              <w:t>水平度；</w:t>
            </w:r>
          </w:p>
          <w:p>
            <w:pPr>
              <w:ind w:left="2117" w:leftChars="547" w:hanging="968" w:hangingChars="346"/>
              <w:jc w:val="left"/>
              <w:textAlignment w:val="center"/>
              <w:rPr>
                <w:rFonts w:cs="Times New Roman" w:asciiTheme="minorEastAsia" w:hAnsiTheme="minorEastAsia"/>
                <w:sz w:val="28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178435" cy="225425"/>
                  <wp:effectExtent l="0" t="0" r="0" b="3175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>——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>在通过支座中心的直线的两端点所测的支座高度之差（mm），如图所示；</w:t>
            </w:r>
          </w:p>
          <w:p>
            <w:pPr>
              <w:ind w:left="2117" w:leftChars="547" w:hanging="968" w:hangingChars="346"/>
              <w:jc w:val="left"/>
              <w:textAlignment w:val="center"/>
              <w:rPr>
                <w:rFonts w:cs="Times New Roman" w:asciiTheme="minorEastAsia" w:hAnsiTheme="minorEastAsia"/>
                <w:sz w:val="28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225425" cy="237490"/>
                  <wp:effectExtent l="0" t="0" r="3175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>——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>连接板直径或对角线长度（mm），如图</w:t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fldChar w:fldCharType="begin"/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instrText xml:space="preserve"> REF _Ref334311120 \r \h  \* MERGEFORMAT </w:instrText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fldChar w:fldCharType="end"/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>所示；</w:t>
            </w:r>
          </w:p>
          <w:p>
            <w:pPr>
              <w:ind w:left="2117" w:leftChars="547" w:hanging="968" w:hangingChars="346"/>
              <w:jc w:val="left"/>
              <w:textAlignment w:val="center"/>
              <w:rPr>
                <w:rFonts w:cs="Times New Roman" w:asciiTheme="minorEastAsia" w:hAnsiTheme="minorEastAsia"/>
                <w:sz w:val="28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189865" cy="189865"/>
                  <wp:effectExtent l="0" t="0" r="635" b="635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Theme="minorEastAsia" w:hAnsiTheme="minorEastAsia"/>
                <w:sz w:val="28"/>
                <w:szCs w:val="24"/>
              </w:rPr>
              <w:t>——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>支座包括保护层厚度的外部直径或对角线长度（mm）。</w:t>
            </w:r>
          </w:p>
          <w:p>
            <w:pPr>
              <w:jc w:val="center"/>
              <w:rPr>
                <w:rFonts w:cs="Times New Roman" w:asciiTheme="minorEastAsia" w:hAnsiTheme="minorEastAsia"/>
                <w:sz w:val="28"/>
                <w:szCs w:val="24"/>
              </w:rPr>
            </w:pPr>
            <w:r>
              <w:rPr>
                <w:rFonts w:cs="Times New Roman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5233670" cy="1371600"/>
                  <wp:effectExtent l="0" t="0" r="0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96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ind w:firstLine="41" w:firstLineChars="15"/>
              <w:jc w:val="center"/>
              <w:rPr>
                <w:rFonts w:cs="Times New Roman" w:asciiTheme="minorEastAsia" w:hAnsiTheme="minorEastAsia"/>
                <w:b/>
                <w:bCs/>
                <w:spacing w:val="-2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pacing w:val="-2"/>
                <w:sz w:val="28"/>
                <w:szCs w:val="24"/>
              </w:rPr>
              <w:t>Ⅰ</w:t>
            </w:r>
            <w:r>
              <w:rPr>
                <w:rFonts w:hint="eastAsia" w:cs="宋体" w:asciiTheme="minorEastAsia" w:hAnsiTheme="minorEastAsia"/>
                <w:spacing w:val="-2"/>
                <w:sz w:val="28"/>
                <w:szCs w:val="24"/>
              </w:rPr>
              <w:t>型和Ⅱ型（安装连接板后）</w:t>
            </w:r>
            <w:r>
              <w:rPr>
                <w:rFonts w:cs="Times New Roman" w:asciiTheme="minorEastAsia" w:hAnsiTheme="minorEastAsia"/>
                <w:b/>
                <w:bCs/>
                <w:spacing w:val="-2"/>
                <w:sz w:val="28"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b/>
                <w:bCs/>
                <w:spacing w:val="-2"/>
                <w:sz w:val="28"/>
                <w:szCs w:val="24"/>
              </w:rPr>
              <w:t xml:space="preserve">           </w:t>
            </w:r>
            <w:r>
              <w:rPr>
                <w:rFonts w:hint="eastAsia" w:cs="宋体" w:asciiTheme="minorEastAsia" w:hAnsiTheme="minorEastAsia"/>
                <w:spacing w:val="-2"/>
                <w:sz w:val="28"/>
                <w:szCs w:val="24"/>
              </w:rPr>
              <w:t>Ⅲ型</w:t>
            </w:r>
          </w:p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cs="Times New Roman" w:asciiTheme="minorEastAsia" w:hAnsiTheme="minorEastAsia"/>
                <w:spacing w:val="-4"/>
                <w:sz w:val="28"/>
                <w:szCs w:val="24"/>
              </w:rPr>
              <w:t>图</w:t>
            </w:r>
            <w:r>
              <w:rPr>
                <w:rFonts w:hint="eastAsia" w:cs="Times New Roman" w:asciiTheme="minorEastAsia" w:hAnsiTheme="minorEastAsia"/>
                <w:sz w:val="28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pacing w:val="-4"/>
                <w:sz w:val="28"/>
                <w:szCs w:val="24"/>
              </w:rPr>
              <w:t>平整度的测量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snapToGrid w:val="0"/>
              <w:spacing w:line="300" w:lineRule="auto"/>
              <w:jc w:val="center"/>
              <w:textAlignment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7.6.5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left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7.6.5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ab/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支座产品的水平偏移（</w:t>
            </w:r>
            <w:r>
              <w:rPr>
                <w:rFonts w:cs="宋体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228600" cy="22860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 xml:space="preserve"> ）不应超过3mm。</w:t>
            </w:r>
          </w:p>
        </w:tc>
        <w:tc>
          <w:tcPr>
            <w:tcW w:w="2567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修订</w:t>
            </w:r>
          </w:p>
        </w:tc>
        <w:tc>
          <w:tcPr>
            <w:tcW w:w="3386" w:type="dxa"/>
            <w:vAlign w:val="center"/>
          </w:tcPr>
          <w:p>
            <w:pPr>
              <w:snapToGrid w:val="0"/>
              <w:spacing w:before="312" w:beforeLines="100" w:line="300" w:lineRule="auto"/>
              <w:jc w:val="left"/>
              <w:textAlignment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与国标保持一致</w:t>
            </w:r>
          </w:p>
        </w:tc>
        <w:tc>
          <w:tcPr>
            <w:tcW w:w="10266" w:type="dxa"/>
            <w:vAlign w:val="center"/>
          </w:tcPr>
          <w:p>
            <w:pPr>
              <w:snapToGrid w:val="0"/>
              <w:spacing w:after="312" w:afterLines="100"/>
              <w:ind w:firstLine="42" w:firstLineChars="15"/>
              <w:jc w:val="left"/>
              <w:rPr>
                <w:rFonts w:cs="Times New Roman" w:asciiTheme="minorEastAsia" w:hAnsiTheme="minorEastAsia"/>
                <w:spacing w:val="-2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7.7.5支座产品的水平偏移（</w:t>
            </w:r>
            <w:r>
              <w:rPr>
                <w:rFonts w:cs="宋体" w:asciiTheme="minorEastAsia" w:hAnsiTheme="minorEastAsia"/>
                <w:sz w:val="28"/>
                <w:szCs w:val="24"/>
              </w:rPr>
              <w:drawing>
                <wp:inline distT="0" distB="0" distL="0" distR="0">
                  <wp:extent cx="231775" cy="231775"/>
                  <wp:effectExtent l="0" t="0" r="0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 xml:space="preserve"> ）不应超过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snapToGrid w:val="0"/>
              <w:spacing w:line="300" w:lineRule="auto"/>
              <w:jc w:val="center"/>
              <w:textAlignment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7.7.9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jc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新增加项目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规定侧向不均匀变形允许值，</w:t>
            </w:r>
          </w:p>
        </w:tc>
        <w:tc>
          <w:tcPr>
            <w:tcW w:w="3386" w:type="dxa"/>
            <w:vAlign w:val="center"/>
          </w:tcPr>
          <w:p>
            <w:pPr>
              <w:snapToGrid w:val="0"/>
              <w:spacing w:after="312" w:afterLines="100"/>
              <w:jc w:val="center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随着大直径规格的生产使用。原定标准与实际工程应用不符。细化侧向不均变形。</w:t>
            </w:r>
          </w:p>
        </w:tc>
        <w:tc>
          <w:tcPr>
            <w:tcW w:w="10266" w:type="dxa"/>
            <w:vAlign w:val="center"/>
          </w:tcPr>
          <w:p>
            <w:pPr>
              <w:ind w:firstLine="42" w:firstLineChars="15"/>
              <w:jc w:val="center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7.7.9设计压应力下，支座的侧向不均匀变形应符合表10的规定。</w:t>
            </w:r>
          </w:p>
          <w:p>
            <w:pPr>
              <w:autoSpaceDE w:val="0"/>
              <w:autoSpaceDN w:val="0"/>
              <w:snapToGrid w:val="0"/>
              <w:ind w:firstLine="42" w:firstLineChars="15"/>
              <w:jc w:val="center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表7.7.9</w:t>
            </w:r>
            <w:r>
              <w:rPr>
                <w:rFonts w:cs="宋体" w:asciiTheme="minorEastAsia" w:hAnsiTheme="minorEastAsia"/>
                <w:sz w:val="28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支座产品侧向不均匀变形允许值(mm)</w:t>
            </w:r>
          </w:p>
          <w:tbl>
            <w:tblPr>
              <w:tblStyle w:val="9"/>
              <w:tblW w:w="7379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99"/>
              <w:gridCol w:w="348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3" w:hRule="exact"/>
                <w:jc w:val="center"/>
              </w:trPr>
              <w:tc>
                <w:tcPr>
                  <w:tcW w:w="389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widowControl/>
                    <w:spacing w:after="312" w:afterLines="100" w:afterAutospacing="1"/>
                    <w:ind w:firstLine="42" w:firstLineChars="15"/>
                    <w:jc w:val="center"/>
                    <w:rPr>
                      <w:rFonts w:cs="宋体" w:asciiTheme="minorEastAsia" w:hAnsiTheme="minorEastAsia"/>
                      <w:sz w:val="28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89230" cy="141605"/>
                        <wp:effectExtent l="0" t="0" r="1270" b="0"/>
                        <wp:docPr id="25" name="图片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图片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、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73355" cy="173355"/>
                        <wp:effectExtent l="0" t="0" r="0" b="0"/>
                        <wp:docPr id="24" name="图片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图片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和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73355" cy="173355"/>
                        <wp:effectExtent l="0" t="0" r="0" b="0"/>
                        <wp:docPr id="23" name="图片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图片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widowControl/>
                    <w:spacing w:after="312" w:afterLines="100" w:afterAutospacing="1"/>
                    <w:ind w:firstLine="42" w:firstLineChars="15"/>
                    <w:jc w:val="center"/>
                    <w:rPr>
                      <w:rFonts w:cs="宋体" w:asciiTheme="minorEastAsia" w:hAnsiTheme="minorEastAsia"/>
                      <w:sz w:val="28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侧向不均匀允许值mm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0" w:hRule="exact"/>
                <w:jc w:val="center"/>
              </w:trPr>
              <w:tc>
                <w:tcPr>
                  <w:tcW w:w="389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widowControl/>
                    <w:spacing w:after="312" w:afterLines="100" w:afterAutospacing="1"/>
                    <w:ind w:firstLine="42" w:firstLineChars="15"/>
                    <w:jc w:val="center"/>
                    <w:rPr>
                      <w:rFonts w:cs="宋体" w:asciiTheme="minorEastAsia" w:hAnsiTheme="minorEastAsia"/>
                      <w:sz w:val="28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89230" cy="141605"/>
                        <wp:effectExtent l="0" t="0" r="1270" b="0"/>
                        <wp:docPr id="22" name="图片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图片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、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73355" cy="173355"/>
                        <wp:effectExtent l="0" t="0" r="0" b="0"/>
                        <wp:docPr id="21" name="图片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图片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和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73355" cy="173355"/>
                        <wp:effectExtent l="0" t="0" r="0" b="0"/>
                        <wp:docPr id="20" name="图片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图片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26365" cy="141605"/>
                        <wp:effectExtent l="0" t="0" r="6985" b="0"/>
                        <wp:docPr id="19" name="图片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图片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36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6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t>00</w:t>
                  </w:r>
                </w:p>
              </w:tc>
              <w:tc>
                <w:tcPr>
                  <w:tcW w:w="348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widowControl/>
                    <w:spacing w:after="312" w:afterLines="100" w:afterAutospacing="1"/>
                    <w:ind w:firstLine="42" w:firstLineChars="15"/>
                    <w:jc w:val="center"/>
                    <w:rPr>
                      <w:rFonts w:cs="宋体" w:asciiTheme="minorEastAsia" w:hAnsiTheme="minorEastAsia"/>
                      <w:sz w:val="28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≤3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9" w:hRule="exact"/>
                <w:jc w:val="center"/>
              </w:trPr>
              <w:tc>
                <w:tcPr>
                  <w:tcW w:w="389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widowControl/>
                    <w:spacing w:after="312" w:afterLines="100" w:afterAutospacing="1"/>
                    <w:ind w:firstLine="42" w:firstLineChars="15"/>
                    <w:jc w:val="center"/>
                    <w:rPr>
                      <w:rFonts w:cs="宋体" w:asciiTheme="minorEastAsia" w:hAnsiTheme="minorEastAsia"/>
                      <w:sz w:val="28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6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t>00</w:t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＜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89230" cy="141605"/>
                        <wp:effectExtent l="0" t="0" r="1270" b="0"/>
                        <wp:docPr id="18" name="图片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图片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、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73355" cy="173355"/>
                        <wp:effectExtent l="0" t="0" r="0" b="0"/>
                        <wp:docPr id="8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和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73355" cy="173355"/>
                        <wp:effectExtent l="0" t="0" r="0" b="0"/>
                        <wp:docPr id="7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26365" cy="141605"/>
                        <wp:effectExtent l="0" t="0" r="6985" b="0"/>
                        <wp:docPr id="6" name="图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36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t>1</w:t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0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t>00</w:t>
                  </w:r>
                </w:p>
              </w:tc>
              <w:tc>
                <w:tcPr>
                  <w:tcW w:w="348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widowControl/>
                    <w:spacing w:after="312" w:afterLines="100" w:afterAutospacing="1"/>
                    <w:ind w:firstLine="42" w:firstLineChars="15"/>
                    <w:jc w:val="center"/>
                    <w:rPr>
                      <w:rFonts w:hint="eastAsia" w:cs="宋体" w:asciiTheme="minorEastAsia" w:hAnsiTheme="minorEastAsia" w:eastAsiaTheme="minorEastAsia"/>
                      <w:sz w:val="28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≤</w:t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6" w:hRule="atLeast"/>
                <w:jc w:val="center"/>
              </w:trPr>
              <w:tc>
                <w:tcPr>
                  <w:tcW w:w="389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widowControl/>
                    <w:spacing w:after="312" w:afterLines="100" w:afterAutospacing="1"/>
                    <w:ind w:firstLine="42" w:firstLineChars="15"/>
                    <w:jc w:val="center"/>
                    <w:rPr>
                      <w:rFonts w:cs="宋体" w:asciiTheme="minorEastAsia" w:hAnsiTheme="minorEastAsia"/>
                      <w:sz w:val="28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89230" cy="141605"/>
                        <wp:effectExtent l="0" t="0" r="1270" b="0"/>
                        <wp:docPr id="5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、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73355" cy="173355"/>
                        <wp:effectExtent l="0" t="0" r="0" b="0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和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drawing>
                      <wp:inline distT="0" distB="0" distL="0" distR="0">
                        <wp:extent cx="173355" cy="173355"/>
                        <wp:effectExtent l="0" t="0" r="0" b="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＞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t>1</w:t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0</w:t>
                  </w:r>
                  <w:r>
                    <w:rPr>
                      <w:rFonts w:cs="宋体" w:asciiTheme="minorEastAsia" w:hAnsiTheme="minorEastAsia"/>
                      <w:sz w:val="28"/>
                      <w:szCs w:val="24"/>
                    </w:rPr>
                    <w:t>00</w:t>
                  </w:r>
                </w:p>
              </w:tc>
              <w:tc>
                <w:tcPr>
                  <w:tcW w:w="348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widowControl/>
                    <w:spacing w:after="312" w:afterLines="100" w:afterAutospacing="1"/>
                    <w:ind w:firstLine="42" w:firstLineChars="15"/>
                    <w:jc w:val="center"/>
                    <w:rPr>
                      <w:rFonts w:hint="eastAsia" w:cs="宋体" w:asciiTheme="minorEastAsia" w:hAnsiTheme="minorEastAsia" w:eastAsiaTheme="minorEastAsia"/>
                      <w:sz w:val="28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</w:rPr>
                    <w:t>≤</w:t>
                  </w:r>
                  <w:r>
                    <w:rPr>
                      <w:rFonts w:hint="eastAsia" w:cs="宋体" w:asciiTheme="minorEastAsia" w:hAnsiTheme="minorEastAsia"/>
                      <w:sz w:val="28"/>
                      <w:szCs w:val="24"/>
                      <w:lang w:val="en-US" w:eastAsia="zh-CN"/>
                    </w:rPr>
                    <w:t>5</w:t>
                  </w:r>
                </w:p>
              </w:tc>
            </w:tr>
          </w:tbl>
          <w:p>
            <w:pPr>
              <w:autoSpaceDE w:val="0"/>
              <w:autoSpaceDN w:val="0"/>
              <w:snapToGrid w:val="0"/>
              <w:spacing w:after="312" w:afterLines="100"/>
              <w:jc w:val="center"/>
              <w:rPr>
                <w:rFonts w:cs="宋体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snapToGrid w:val="0"/>
              <w:spacing w:line="300" w:lineRule="auto"/>
              <w:jc w:val="center"/>
              <w:textAlignment w:val="center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7.7.10</w:t>
            </w:r>
          </w:p>
        </w:tc>
        <w:tc>
          <w:tcPr>
            <w:tcW w:w="7887" w:type="dxa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</w:p>
          <w:p>
            <w:pPr>
              <w:tabs>
                <w:tab w:val="left" w:pos="720"/>
              </w:tabs>
              <w:snapToGrid w:val="0"/>
              <w:spacing w:line="300" w:lineRule="auto"/>
              <w:outlineLvl w:val="2"/>
              <w:rPr>
                <w:rFonts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新增加项目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确定侧向不均匀变形测量方式，及均匀变形、不均匀变形示意图。</w:t>
            </w:r>
          </w:p>
        </w:tc>
        <w:tc>
          <w:tcPr>
            <w:tcW w:w="3386" w:type="dxa"/>
            <w:vAlign w:val="center"/>
          </w:tcPr>
          <w:p>
            <w:pPr>
              <w:autoSpaceDE w:val="0"/>
              <w:autoSpaceDN w:val="0"/>
              <w:snapToGrid w:val="0"/>
              <w:spacing w:after="312" w:afterLines="100"/>
              <w:jc w:val="left"/>
              <w:rPr>
                <w:rFonts w:hint="eastAsia" w:cs="宋体" w:asciiTheme="minorEastAsia" w:hAnsiTheme="minorEastAsia"/>
                <w:sz w:val="28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after="312" w:afterLines="100"/>
              <w:jc w:val="left"/>
              <w:rPr>
                <w:rFonts w:hint="eastAsia"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增加示意图，便于实际生产、工程识别。增加辨识度。</w:t>
            </w:r>
          </w:p>
        </w:tc>
        <w:tc>
          <w:tcPr>
            <w:tcW w:w="10266" w:type="dxa"/>
            <w:vAlign w:val="center"/>
          </w:tcPr>
          <w:p>
            <w:pPr>
              <w:autoSpaceDE w:val="0"/>
              <w:autoSpaceDN w:val="0"/>
              <w:snapToGrid w:val="0"/>
              <w:spacing w:after="312" w:afterLines="100"/>
              <w:jc w:val="left"/>
              <w:rPr>
                <w:rFonts w:hint="eastAsia"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t>7.7.10 设计压应力下，采用直角尺和塞尺测量支座最大凸出、凹进位置的凸出、凹进量，取最大值。侧向均匀变形指隔震支座在设计压应力下，支座的侧面均匀向外鼓出，剖面呈灯笼状，见图7.6.10.1。侧向不均匀变形指隔震支座在设计压应力下，支座的侧面不均匀向外鼓出，剖面呈C型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或</w:t>
            </w:r>
            <w:r>
              <w:rPr>
                <w:rFonts w:hint="eastAsia" w:cs="宋体" w:asciiTheme="minorEastAsia" w:hAnsiTheme="minorEastAsia"/>
                <w:sz w:val="28"/>
                <w:szCs w:val="24"/>
              </w:rPr>
              <w:t>S型状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或局部异常鼓出</w:t>
            </w:r>
          </w:p>
          <w:p>
            <w:pPr>
              <w:autoSpaceDE w:val="0"/>
              <w:autoSpaceDN w:val="0"/>
              <w:snapToGrid w:val="0"/>
              <w:spacing w:after="312" w:afterLines="100"/>
              <w:jc w:val="left"/>
              <w:rPr>
                <w:rFonts w:hint="eastAsia"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</w:rPr>
              <w:drawing>
                <wp:inline distT="0" distB="0" distL="114300" distR="114300">
                  <wp:extent cx="4852670" cy="5843905"/>
                  <wp:effectExtent l="0" t="0" r="5080" b="4445"/>
                  <wp:docPr id="8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670" cy="584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snapToGrid w:val="0"/>
              <w:spacing w:line="300" w:lineRule="auto"/>
              <w:jc w:val="center"/>
              <w:textAlignment w:val="center"/>
              <w:outlineLvl w:val="2"/>
              <w:rPr>
                <w:rFonts w:hint="default" w:cs="宋体" w:asciiTheme="minorEastAsia" w:hAnsiTheme="minorEastAsia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7.7.1</w:t>
            </w:r>
          </w:p>
        </w:tc>
        <w:tc>
          <w:tcPr>
            <w:tcW w:w="7887" w:type="dxa"/>
            <w:vAlign w:val="center"/>
          </w:tcPr>
          <w:p>
            <w:pPr>
              <w:numPr>
                <w:ilvl w:val="2"/>
                <w:numId w:val="4"/>
              </w:numPr>
              <w:snapToGrid w:val="0"/>
              <w:spacing w:line="300" w:lineRule="auto"/>
              <w:textAlignment w:val="center"/>
              <w:outlineLvl w:val="2"/>
              <w:rPr>
                <w:rFonts w:hint="eastAsia" w:cs="宋体"/>
              </w:rPr>
            </w:pPr>
            <w:r>
              <w:rPr>
                <w:rFonts w:hint="eastAsia" w:cs="宋体"/>
              </w:rPr>
              <w:t>支座产品的标识和标签应提供以下信息：</w:t>
            </w:r>
          </w:p>
          <w:p>
            <w:pPr>
              <w:snapToGrid w:val="0"/>
              <w:spacing w:line="300" w:lineRule="auto"/>
              <w:ind w:firstLine="525" w:firstLineChars="250"/>
              <w:rPr>
                <w:rFonts w:cs="宋体"/>
              </w:rPr>
            </w:pPr>
            <w:r>
              <w:rPr>
                <w:rFonts w:cs="宋体"/>
              </w:rPr>
              <w:t>1</w:t>
            </w:r>
            <w:r>
              <w:rPr>
                <w:rFonts w:hint="eastAsia" w:cs="宋体"/>
              </w:rPr>
              <w:t xml:space="preserve"> 制造厂的名字和企业的商标；</w:t>
            </w:r>
          </w:p>
          <w:p>
            <w:pPr>
              <w:snapToGrid w:val="0"/>
              <w:spacing w:line="300" w:lineRule="auto"/>
              <w:ind w:firstLine="525" w:firstLineChars="250"/>
              <w:rPr>
                <w:rFonts w:cs="宋体"/>
              </w:rPr>
            </w:pPr>
            <w:r>
              <w:rPr>
                <w:rFonts w:cs="宋体"/>
              </w:rPr>
              <w:t>2</w:t>
            </w:r>
            <w:r>
              <w:rPr>
                <w:rFonts w:hint="eastAsia" w:cs="宋体"/>
              </w:rPr>
              <w:t xml:space="preserve"> 支座的类型：天然橡胶支座（</w:t>
            </w:r>
            <w:r>
              <w:rPr>
                <w:rFonts w:cs="宋体"/>
              </w:rPr>
              <w:t>LNR</w:t>
            </w:r>
            <w:r>
              <w:rPr>
                <w:rFonts w:hint="eastAsia" w:cs="宋体"/>
              </w:rPr>
              <w:t>），高阻尼橡胶支座（</w:t>
            </w:r>
            <w:r>
              <w:rPr>
                <w:rFonts w:cs="宋体"/>
              </w:rPr>
              <w:t>HDR</w:t>
            </w:r>
            <w:r>
              <w:rPr>
                <w:rFonts w:hint="eastAsia" w:cs="宋体"/>
              </w:rPr>
              <w:t>），铅芯橡胶支座（</w:t>
            </w:r>
            <w:r>
              <w:rPr>
                <w:rFonts w:cs="宋体"/>
              </w:rPr>
              <w:t>LRB</w:t>
            </w:r>
            <w:r>
              <w:rPr>
                <w:rFonts w:hint="eastAsia" w:cs="宋体"/>
              </w:rPr>
              <w:t>）；</w:t>
            </w:r>
          </w:p>
          <w:p>
            <w:pPr>
              <w:snapToGrid w:val="0"/>
              <w:spacing w:line="300" w:lineRule="auto"/>
              <w:ind w:firstLine="525" w:firstLineChars="250"/>
              <w:rPr>
                <w:rFonts w:hint="eastAsia" w:cs="宋体" w:asciiTheme="minorEastAsia" w:hAnsiTheme="minorEastAsia"/>
                <w:sz w:val="28"/>
                <w:szCs w:val="24"/>
              </w:rPr>
            </w:pPr>
            <w:r>
              <w:rPr>
                <w:rFonts w:cs="宋体"/>
              </w:rPr>
              <w:t>3</w:t>
            </w:r>
            <w:r>
              <w:rPr>
                <w:rFonts w:hint="eastAsia" w:cs="宋体"/>
              </w:rPr>
              <w:t xml:space="preserve"> 产品序列号或生产号码；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修订</w:t>
            </w:r>
          </w:p>
        </w:tc>
        <w:tc>
          <w:tcPr>
            <w:tcW w:w="3386" w:type="dxa"/>
            <w:vAlign w:val="center"/>
          </w:tcPr>
          <w:p>
            <w:pPr>
              <w:autoSpaceDE w:val="0"/>
              <w:autoSpaceDN w:val="0"/>
              <w:snapToGrid w:val="0"/>
              <w:spacing w:after="312" w:afterLines="100"/>
              <w:jc w:val="left"/>
              <w:rPr>
                <w:rFonts w:hint="eastAsia" w:cs="宋体" w:asciiTheme="minorEastAsia" w:hAnsiTheme="minorEastAsia" w:eastAsiaTheme="minorEastAsia"/>
                <w:sz w:val="28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eastAsia="zh-CN"/>
              </w:rPr>
              <w:t>增加永久标识要求</w:t>
            </w:r>
          </w:p>
        </w:tc>
        <w:tc>
          <w:tcPr>
            <w:tcW w:w="10266" w:type="dxa"/>
            <w:vAlign w:val="center"/>
          </w:tcPr>
          <w:p>
            <w:pPr>
              <w:snapToGrid w:val="0"/>
              <w:spacing w:line="300" w:lineRule="auto"/>
              <w:ind w:firstLine="0" w:firstLineChars="0"/>
              <w:textAlignment w:val="center"/>
              <w:outlineLvl w:val="2"/>
              <w:rPr>
                <w:rFonts w:hint="default" w:eastAsia="宋体" w:cs="宋体"/>
                <w:lang w:val="en-US" w:eastAsia="zh-CN"/>
              </w:rPr>
            </w:pPr>
            <w:r>
              <w:rPr>
                <w:rFonts w:hint="eastAsia" w:cs="宋体"/>
              </w:rPr>
              <w:t>7.7.1</w:t>
            </w:r>
            <w:r>
              <w:rPr>
                <w:rFonts w:hint="eastAsia" w:cs="宋体"/>
                <w:lang w:val="en-US" w:eastAsia="zh-CN"/>
              </w:rPr>
              <w:t>支座产品保护胶上应有永久标识，永久标识应直接硫化在支座保护胶上，永久标识应包含以下信息：</w:t>
            </w:r>
          </w:p>
          <w:p>
            <w:pPr>
              <w:snapToGrid w:val="0"/>
              <w:spacing w:line="300" w:lineRule="auto"/>
              <w:ind w:firstLine="525" w:firstLineChars="250"/>
              <w:rPr>
                <w:rFonts w:cs="宋体"/>
              </w:rPr>
            </w:pPr>
            <w:r>
              <w:rPr>
                <w:rFonts w:hint="eastAsia" w:cs="宋体"/>
                <w:lang w:val="en-US" w:eastAsia="zh-CN"/>
              </w:rPr>
              <w:t>（1）</w:t>
            </w:r>
            <w:r>
              <w:rPr>
                <w:rFonts w:hint="eastAsia" w:cs="宋体"/>
              </w:rPr>
              <w:t>制造厂名字</w:t>
            </w:r>
            <w:r>
              <w:rPr>
                <w:rFonts w:hint="eastAsia" w:cs="宋体"/>
                <w:lang w:eastAsia="zh-CN"/>
              </w:rPr>
              <w:t>、</w:t>
            </w:r>
            <w:r>
              <w:rPr>
                <w:rFonts w:hint="eastAsia" w:cs="宋体"/>
              </w:rPr>
              <w:t>企业商标</w:t>
            </w:r>
            <w:r>
              <w:rPr>
                <w:rFonts w:hint="eastAsia" w:cs="宋体"/>
                <w:lang w:eastAsia="zh-CN"/>
              </w:rPr>
              <w:t>；</w:t>
            </w:r>
          </w:p>
          <w:p>
            <w:pPr>
              <w:snapToGrid w:val="0"/>
              <w:spacing w:line="300" w:lineRule="auto"/>
              <w:ind w:firstLine="525" w:firstLineChars="250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2</w:t>
            </w:r>
            <w:r>
              <w:rPr>
                <w:rFonts w:hint="eastAsia" w:cs="宋体"/>
                <w:lang w:eastAsia="zh-CN"/>
              </w:rPr>
              <w:t>）</w:t>
            </w:r>
            <w:r>
              <w:rPr>
                <w:rFonts w:hint="eastAsia" w:cs="宋体"/>
              </w:rPr>
              <w:t>支座类型：天然橡胶支座（</w:t>
            </w:r>
            <w:r>
              <w:rPr>
                <w:rFonts w:cs="宋体"/>
              </w:rPr>
              <w:t>LNR</w:t>
            </w:r>
            <w:r>
              <w:rPr>
                <w:rFonts w:hint="eastAsia" w:cs="宋体"/>
              </w:rPr>
              <w:t>），高阻尼橡胶支座（</w:t>
            </w:r>
            <w:r>
              <w:rPr>
                <w:rFonts w:cs="宋体"/>
              </w:rPr>
              <w:t>HDR</w:t>
            </w:r>
            <w:r>
              <w:rPr>
                <w:rFonts w:hint="eastAsia" w:cs="宋体"/>
              </w:rPr>
              <w:t>），铅芯橡胶支座（</w:t>
            </w:r>
            <w:r>
              <w:rPr>
                <w:rFonts w:cs="宋体"/>
              </w:rPr>
              <w:t>LRB</w:t>
            </w:r>
            <w:r>
              <w:rPr>
                <w:rFonts w:hint="eastAsia" w:cs="宋体"/>
              </w:rPr>
              <w:t>）</w:t>
            </w:r>
            <w:r>
              <w:rPr>
                <w:rFonts w:hint="eastAsia" w:cs="宋体"/>
                <w:lang w:eastAsia="zh-CN"/>
              </w:rPr>
              <w:t>，产品执行标准；</w:t>
            </w:r>
          </w:p>
          <w:p>
            <w:pPr>
              <w:snapToGrid w:val="0"/>
              <w:spacing w:line="300" w:lineRule="auto"/>
              <w:ind w:firstLine="525" w:firstLineChars="250"/>
              <w:rPr>
                <w:rFonts w:hint="eastAsia" w:cs="宋体" w:asciiTheme="minorEastAsia" w:hAnsiTheme="minorEastAsia"/>
                <w:sz w:val="28"/>
                <w:szCs w:val="24"/>
              </w:rPr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3</w:t>
            </w:r>
            <w:r>
              <w:rPr>
                <w:rFonts w:hint="eastAsia" w:cs="宋体"/>
                <w:lang w:eastAsia="zh-CN"/>
              </w:rPr>
              <w:t>）产品序列号或生产编号，其编码规则应当顺序编号，不能重号</w:t>
            </w:r>
            <w:r>
              <w:rPr>
                <w:rFonts w:hint="eastAsia" w:cs="宋体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  <w:vAlign w:val="center"/>
          </w:tcPr>
          <w:p>
            <w:pPr>
              <w:snapToGrid w:val="0"/>
              <w:spacing w:line="300" w:lineRule="auto"/>
              <w:jc w:val="center"/>
              <w:textAlignment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附录</w:t>
            </w:r>
          </w:p>
        </w:tc>
        <w:tc>
          <w:tcPr>
            <w:tcW w:w="7887" w:type="dxa"/>
            <w:vAlign w:val="center"/>
          </w:tcPr>
          <w:p>
            <w:pPr>
              <w:snapToGrid w:val="0"/>
              <w:spacing w:line="300" w:lineRule="auto"/>
              <w:jc w:val="left"/>
              <w:textAlignment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HYPERLINK \l _Toc12775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附录A 橡胶材料物理性能要求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ab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PAGEREF _Toc12775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</w:p>
          <w:p>
            <w:pPr>
              <w:snapToGrid w:val="0"/>
              <w:spacing w:line="300" w:lineRule="auto"/>
              <w:jc w:val="left"/>
              <w:textAlignment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HYPERLINK \l _Toc27588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附录B 橡胶材料物理性能试验项目和方法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ab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PAGEREF _Toc27588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</w:p>
          <w:p>
            <w:pPr>
              <w:snapToGrid w:val="0"/>
              <w:spacing w:line="300" w:lineRule="auto"/>
              <w:jc w:val="left"/>
              <w:textAlignment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HYPERLINK \l _Toc22798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附录C 支座的典型尺寸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ab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PAGEREF _Toc22798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line="300" w:lineRule="auto"/>
              <w:jc w:val="center"/>
              <w:textAlignment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修订</w:t>
            </w:r>
          </w:p>
        </w:tc>
        <w:tc>
          <w:tcPr>
            <w:tcW w:w="3386" w:type="dxa"/>
            <w:vAlign w:val="center"/>
          </w:tcPr>
          <w:p>
            <w:pPr>
              <w:snapToGrid w:val="0"/>
              <w:spacing w:line="300" w:lineRule="auto"/>
              <w:jc w:val="center"/>
              <w:textAlignment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新增了：建议的标准化产品规格及参数、考虑惯性力对剪力的修正、考虑摩擦力对剪力的修正。</w:t>
            </w:r>
          </w:p>
        </w:tc>
        <w:tc>
          <w:tcPr>
            <w:tcW w:w="10266" w:type="dxa"/>
            <w:vAlign w:val="center"/>
          </w:tcPr>
          <w:p>
            <w:pPr>
              <w:snapToGrid w:val="0"/>
              <w:spacing w:line="300" w:lineRule="auto"/>
              <w:jc w:val="left"/>
              <w:textAlignment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HYPERLINK \l _Toc29653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附录A 橡胶材料物理性能试验项目和方法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ab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PAGEREF _Toc29653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31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</w:p>
          <w:p>
            <w:pPr>
              <w:snapToGrid w:val="0"/>
              <w:spacing w:line="300" w:lineRule="auto"/>
              <w:jc w:val="left"/>
              <w:textAlignment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HYPERLINK \l _Toc8575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附录B 支座的典型尺寸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ab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PAGEREF _Toc8575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32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</w:p>
          <w:p>
            <w:pPr>
              <w:snapToGrid w:val="0"/>
              <w:spacing w:line="300" w:lineRule="auto"/>
              <w:jc w:val="left"/>
              <w:textAlignment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HYPERLINK \l _Toc21170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附录C  建议的标准化产品规格及参数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ab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PAGEREF _Toc21170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33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</w:p>
          <w:p>
            <w:pPr>
              <w:snapToGrid w:val="0"/>
              <w:spacing w:line="300" w:lineRule="auto"/>
              <w:jc w:val="left"/>
              <w:textAlignment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HYPERLINK \l _Toc15930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附录D  考虑惯性力对剪力的修正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ab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PAGEREF _Toc15930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37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</w:p>
          <w:p>
            <w:pPr>
              <w:snapToGrid w:val="0"/>
              <w:spacing w:line="300" w:lineRule="auto"/>
              <w:jc w:val="left"/>
              <w:textAlignment w:val="center"/>
              <w:outlineLvl w:val="2"/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HYPERLINK \l _Toc13615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附录E  考虑摩擦力对剪力的修正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ab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instrText xml:space="preserve"> PAGEREF _Toc13615 </w:instrTex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t>39</w:t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  <w:r>
              <w:rPr>
                <w:rFonts w:hint="eastAsia" w:cs="宋体" w:asciiTheme="minorEastAsia" w:hAnsiTheme="minorEastAsia"/>
                <w:sz w:val="28"/>
                <w:szCs w:val="24"/>
                <w:lang w:val="en-US" w:eastAsia="zh-CN"/>
              </w:rPr>
              <w:fldChar w:fldCharType="end"/>
            </w:r>
          </w:p>
        </w:tc>
      </w:tr>
    </w:tbl>
    <w:p>
      <w:pPr>
        <w:jc w:val="center"/>
        <w:rPr>
          <w:rFonts w:asciiTheme="minorEastAsia" w:hAnsiTheme="minorEastAsia"/>
          <w:b/>
          <w:sz w:val="28"/>
        </w:rPr>
      </w:pPr>
    </w:p>
    <w:sectPr>
      <w:footerReference r:id="rId3" w:type="default"/>
      <w:pgSz w:w="29201" w:h="20639" w:orient="landscape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3" name="文本框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h3Pw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pFiWYKOzr9+H76+fv06xuBDgC11s/gt7HwDN0702HRg95DGefu&#10;KqfijYkI7ID6eIFXdIHwGDSdTKc5TBy24YH82VO4dT68F0aRKBTUYX8JVnZY+9C7Di6xmjarRsq0&#10;Q6lJW9Drq7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Dgh3P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0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3.0.%3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0000012"/>
    <w:multiLevelType w:val="multilevel"/>
    <w:tmpl w:val="00000012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0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7.7.%3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00000016"/>
    <w:multiLevelType w:val="multilevel"/>
    <w:tmpl w:val="00000016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0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7.6.%3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b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">
    <w:nsid w:val="56DACAA8"/>
    <w:multiLevelType w:val="singleLevel"/>
    <w:tmpl w:val="56DACAA8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05"/>
    <w:rsid w:val="000119FC"/>
    <w:rsid w:val="000615F7"/>
    <w:rsid w:val="000B169D"/>
    <w:rsid w:val="00120B94"/>
    <w:rsid w:val="001B7171"/>
    <w:rsid w:val="001E761F"/>
    <w:rsid w:val="00247F5E"/>
    <w:rsid w:val="002B66AA"/>
    <w:rsid w:val="002E574A"/>
    <w:rsid w:val="002E65F0"/>
    <w:rsid w:val="003173FF"/>
    <w:rsid w:val="00361705"/>
    <w:rsid w:val="003929E2"/>
    <w:rsid w:val="00395537"/>
    <w:rsid w:val="003E3EE2"/>
    <w:rsid w:val="00513321"/>
    <w:rsid w:val="00530209"/>
    <w:rsid w:val="0057046E"/>
    <w:rsid w:val="007450EE"/>
    <w:rsid w:val="00780C6F"/>
    <w:rsid w:val="00795EBA"/>
    <w:rsid w:val="007A016C"/>
    <w:rsid w:val="007A79D1"/>
    <w:rsid w:val="00840F82"/>
    <w:rsid w:val="008443FE"/>
    <w:rsid w:val="0085490D"/>
    <w:rsid w:val="00896F41"/>
    <w:rsid w:val="0092048B"/>
    <w:rsid w:val="009B495C"/>
    <w:rsid w:val="009B6F18"/>
    <w:rsid w:val="009B7156"/>
    <w:rsid w:val="009E6626"/>
    <w:rsid w:val="009F2310"/>
    <w:rsid w:val="00A60B0E"/>
    <w:rsid w:val="00AF0FDF"/>
    <w:rsid w:val="00AF2831"/>
    <w:rsid w:val="00B13361"/>
    <w:rsid w:val="00B76C09"/>
    <w:rsid w:val="00B95383"/>
    <w:rsid w:val="00BC023E"/>
    <w:rsid w:val="00BC7054"/>
    <w:rsid w:val="00BF5809"/>
    <w:rsid w:val="00C5791F"/>
    <w:rsid w:val="00CB3549"/>
    <w:rsid w:val="00CB6026"/>
    <w:rsid w:val="00CE7AD5"/>
    <w:rsid w:val="00D33006"/>
    <w:rsid w:val="00DA0BB7"/>
    <w:rsid w:val="00DC6ECF"/>
    <w:rsid w:val="00DE2650"/>
    <w:rsid w:val="00E17CD2"/>
    <w:rsid w:val="00E97E98"/>
    <w:rsid w:val="00ED7782"/>
    <w:rsid w:val="00F174E1"/>
    <w:rsid w:val="00FD6CB2"/>
    <w:rsid w:val="011179F3"/>
    <w:rsid w:val="01AC11A9"/>
    <w:rsid w:val="01DE56CD"/>
    <w:rsid w:val="022D2144"/>
    <w:rsid w:val="024D2D82"/>
    <w:rsid w:val="02616D5E"/>
    <w:rsid w:val="028B7995"/>
    <w:rsid w:val="029C0DB7"/>
    <w:rsid w:val="02E857FE"/>
    <w:rsid w:val="031C3FCD"/>
    <w:rsid w:val="0361669E"/>
    <w:rsid w:val="03785DC9"/>
    <w:rsid w:val="03FA326E"/>
    <w:rsid w:val="04414586"/>
    <w:rsid w:val="048900D1"/>
    <w:rsid w:val="0490185C"/>
    <w:rsid w:val="04B1174D"/>
    <w:rsid w:val="04F178AF"/>
    <w:rsid w:val="0552256B"/>
    <w:rsid w:val="0591387F"/>
    <w:rsid w:val="06136B48"/>
    <w:rsid w:val="062048E4"/>
    <w:rsid w:val="06D505BA"/>
    <w:rsid w:val="06F84485"/>
    <w:rsid w:val="07631EF5"/>
    <w:rsid w:val="07910FA7"/>
    <w:rsid w:val="07C52BC3"/>
    <w:rsid w:val="07D0755D"/>
    <w:rsid w:val="07DA17D8"/>
    <w:rsid w:val="07DC3403"/>
    <w:rsid w:val="07E9794C"/>
    <w:rsid w:val="081E5B76"/>
    <w:rsid w:val="08791236"/>
    <w:rsid w:val="09006633"/>
    <w:rsid w:val="091F5143"/>
    <w:rsid w:val="0984571F"/>
    <w:rsid w:val="09F71A11"/>
    <w:rsid w:val="0A323841"/>
    <w:rsid w:val="0A7035E8"/>
    <w:rsid w:val="0B0B74B9"/>
    <w:rsid w:val="0B49467F"/>
    <w:rsid w:val="0B7275F7"/>
    <w:rsid w:val="0BD85BA0"/>
    <w:rsid w:val="0C044D65"/>
    <w:rsid w:val="0C192DDE"/>
    <w:rsid w:val="0C400C2D"/>
    <w:rsid w:val="0CAC0FD2"/>
    <w:rsid w:val="0CD4623C"/>
    <w:rsid w:val="0D1042C6"/>
    <w:rsid w:val="0D4A3E23"/>
    <w:rsid w:val="0D672848"/>
    <w:rsid w:val="0D69009A"/>
    <w:rsid w:val="0DCF6D05"/>
    <w:rsid w:val="0E1234B0"/>
    <w:rsid w:val="0EC02829"/>
    <w:rsid w:val="0ED7270E"/>
    <w:rsid w:val="0FCB220B"/>
    <w:rsid w:val="10075F15"/>
    <w:rsid w:val="10432C31"/>
    <w:rsid w:val="105732EF"/>
    <w:rsid w:val="108557C9"/>
    <w:rsid w:val="10AE2729"/>
    <w:rsid w:val="10C2205A"/>
    <w:rsid w:val="10FA4788"/>
    <w:rsid w:val="11186E0F"/>
    <w:rsid w:val="112B12E4"/>
    <w:rsid w:val="11AE295B"/>
    <w:rsid w:val="11E6236D"/>
    <w:rsid w:val="11EA15A6"/>
    <w:rsid w:val="11F1057B"/>
    <w:rsid w:val="127313D0"/>
    <w:rsid w:val="12A22B5C"/>
    <w:rsid w:val="12A91E88"/>
    <w:rsid w:val="12B17031"/>
    <w:rsid w:val="12BB4087"/>
    <w:rsid w:val="1341535F"/>
    <w:rsid w:val="136676DD"/>
    <w:rsid w:val="13775B18"/>
    <w:rsid w:val="1386781A"/>
    <w:rsid w:val="13C2425E"/>
    <w:rsid w:val="13DB252B"/>
    <w:rsid w:val="13EB3083"/>
    <w:rsid w:val="142573A8"/>
    <w:rsid w:val="142663C5"/>
    <w:rsid w:val="14481F8A"/>
    <w:rsid w:val="1486521A"/>
    <w:rsid w:val="149406B1"/>
    <w:rsid w:val="1510295C"/>
    <w:rsid w:val="154037E7"/>
    <w:rsid w:val="157A245C"/>
    <w:rsid w:val="15DC56D8"/>
    <w:rsid w:val="165E3222"/>
    <w:rsid w:val="168A50BC"/>
    <w:rsid w:val="16A83042"/>
    <w:rsid w:val="16CF03D7"/>
    <w:rsid w:val="175B666F"/>
    <w:rsid w:val="17787E3F"/>
    <w:rsid w:val="17906CEE"/>
    <w:rsid w:val="17C13760"/>
    <w:rsid w:val="17C73F00"/>
    <w:rsid w:val="17C85139"/>
    <w:rsid w:val="182D2A79"/>
    <w:rsid w:val="183A3011"/>
    <w:rsid w:val="1893757E"/>
    <w:rsid w:val="18940AF1"/>
    <w:rsid w:val="189646C5"/>
    <w:rsid w:val="18EE32CB"/>
    <w:rsid w:val="19394163"/>
    <w:rsid w:val="193F6E78"/>
    <w:rsid w:val="199F7F89"/>
    <w:rsid w:val="19B8457B"/>
    <w:rsid w:val="19C16BE7"/>
    <w:rsid w:val="19D311B3"/>
    <w:rsid w:val="19F22628"/>
    <w:rsid w:val="1A0435D2"/>
    <w:rsid w:val="1A062D1E"/>
    <w:rsid w:val="1A5E4514"/>
    <w:rsid w:val="1A7306A3"/>
    <w:rsid w:val="1A8726C9"/>
    <w:rsid w:val="1ABA58DC"/>
    <w:rsid w:val="1ABC4DF0"/>
    <w:rsid w:val="1AC14321"/>
    <w:rsid w:val="1BC60FF8"/>
    <w:rsid w:val="1BCA6363"/>
    <w:rsid w:val="1BD74CCD"/>
    <w:rsid w:val="1C0A171B"/>
    <w:rsid w:val="1C2E1358"/>
    <w:rsid w:val="1CAE58C7"/>
    <w:rsid w:val="1CE82EC2"/>
    <w:rsid w:val="1D245A82"/>
    <w:rsid w:val="1D31488E"/>
    <w:rsid w:val="1D610B4F"/>
    <w:rsid w:val="1D6F6981"/>
    <w:rsid w:val="1DDB0935"/>
    <w:rsid w:val="1E553DFA"/>
    <w:rsid w:val="1E654A94"/>
    <w:rsid w:val="1E6C3864"/>
    <w:rsid w:val="1E8D0B2A"/>
    <w:rsid w:val="1EB01E52"/>
    <w:rsid w:val="1EF10E32"/>
    <w:rsid w:val="1F506E1B"/>
    <w:rsid w:val="1F5B5422"/>
    <w:rsid w:val="1FF64BD3"/>
    <w:rsid w:val="20077A9D"/>
    <w:rsid w:val="201520FE"/>
    <w:rsid w:val="207F5B74"/>
    <w:rsid w:val="20A55E6D"/>
    <w:rsid w:val="20C22491"/>
    <w:rsid w:val="20E16711"/>
    <w:rsid w:val="21621A6F"/>
    <w:rsid w:val="218E2519"/>
    <w:rsid w:val="21C42BF1"/>
    <w:rsid w:val="21CE686A"/>
    <w:rsid w:val="22056A05"/>
    <w:rsid w:val="221523A5"/>
    <w:rsid w:val="2221289F"/>
    <w:rsid w:val="22284771"/>
    <w:rsid w:val="22C10970"/>
    <w:rsid w:val="23013438"/>
    <w:rsid w:val="23467B7D"/>
    <w:rsid w:val="23825FDB"/>
    <w:rsid w:val="23854CA4"/>
    <w:rsid w:val="23933DFE"/>
    <w:rsid w:val="240602DF"/>
    <w:rsid w:val="240A1DF7"/>
    <w:rsid w:val="248B1ABF"/>
    <w:rsid w:val="24B77D8D"/>
    <w:rsid w:val="25045FAE"/>
    <w:rsid w:val="253B591D"/>
    <w:rsid w:val="25657BB4"/>
    <w:rsid w:val="25711F40"/>
    <w:rsid w:val="257D492C"/>
    <w:rsid w:val="25DE0497"/>
    <w:rsid w:val="26C851CF"/>
    <w:rsid w:val="26CF5E18"/>
    <w:rsid w:val="26EE22B6"/>
    <w:rsid w:val="2740779A"/>
    <w:rsid w:val="277764DB"/>
    <w:rsid w:val="27AE3553"/>
    <w:rsid w:val="27BB04EB"/>
    <w:rsid w:val="27C95F59"/>
    <w:rsid w:val="27DD4A07"/>
    <w:rsid w:val="28195E65"/>
    <w:rsid w:val="28643584"/>
    <w:rsid w:val="288C1794"/>
    <w:rsid w:val="288F0820"/>
    <w:rsid w:val="290312D8"/>
    <w:rsid w:val="29402F64"/>
    <w:rsid w:val="296E0650"/>
    <w:rsid w:val="29741DB3"/>
    <w:rsid w:val="29A01F71"/>
    <w:rsid w:val="29BB2684"/>
    <w:rsid w:val="2A5529B9"/>
    <w:rsid w:val="2A5929BC"/>
    <w:rsid w:val="2A79639E"/>
    <w:rsid w:val="2AAD0AF3"/>
    <w:rsid w:val="2AB3779C"/>
    <w:rsid w:val="2ABC3326"/>
    <w:rsid w:val="2B12646C"/>
    <w:rsid w:val="2B4107B2"/>
    <w:rsid w:val="2B8842E0"/>
    <w:rsid w:val="2BC71334"/>
    <w:rsid w:val="2BD83679"/>
    <w:rsid w:val="2C05767C"/>
    <w:rsid w:val="2C1A3274"/>
    <w:rsid w:val="2C7F4FA9"/>
    <w:rsid w:val="2CB24B27"/>
    <w:rsid w:val="2CBA75FB"/>
    <w:rsid w:val="2CED0F8E"/>
    <w:rsid w:val="2CF15804"/>
    <w:rsid w:val="2CF53A3D"/>
    <w:rsid w:val="2D397974"/>
    <w:rsid w:val="2D9D09BB"/>
    <w:rsid w:val="2DD06132"/>
    <w:rsid w:val="2E5B284F"/>
    <w:rsid w:val="2E7467B5"/>
    <w:rsid w:val="2E787368"/>
    <w:rsid w:val="2E831C8B"/>
    <w:rsid w:val="2E9B323F"/>
    <w:rsid w:val="2E9F26C0"/>
    <w:rsid w:val="2EBE76CC"/>
    <w:rsid w:val="2F4770B7"/>
    <w:rsid w:val="2F553923"/>
    <w:rsid w:val="2F583923"/>
    <w:rsid w:val="2F5A20E8"/>
    <w:rsid w:val="2F711E85"/>
    <w:rsid w:val="2FC052E3"/>
    <w:rsid w:val="30626E08"/>
    <w:rsid w:val="30872A66"/>
    <w:rsid w:val="30B36E16"/>
    <w:rsid w:val="313F06A1"/>
    <w:rsid w:val="314029C6"/>
    <w:rsid w:val="31717DEA"/>
    <w:rsid w:val="31AD6E33"/>
    <w:rsid w:val="31B11999"/>
    <w:rsid w:val="31D22BD8"/>
    <w:rsid w:val="31E473A7"/>
    <w:rsid w:val="31FB6C54"/>
    <w:rsid w:val="32D1321A"/>
    <w:rsid w:val="335B1BF8"/>
    <w:rsid w:val="33884CBC"/>
    <w:rsid w:val="338953E4"/>
    <w:rsid w:val="339C2B32"/>
    <w:rsid w:val="33DE5C5B"/>
    <w:rsid w:val="33DF6A2D"/>
    <w:rsid w:val="34E535AB"/>
    <w:rsid w:val="34FA045D"/>
    <w:rsid w:val="357E0172"/>
    <w:rsid w:val="36417310"/>
    <w:rsid w:val="3651544A"/>
    <w:rsid w:val="36613692"/>
    <w:rsid w:val="36E41DCE"/>
    <w:rsid w:val="37390DEC"/>
    <w:rsid w:val="376A6754"/>
    <w:rsid w:val="3779290E"/>
    <w:rsid w:val="37941C49"/>
    <w:rsid w:val="37A0213E"/>
    <w:rsid w:val="38155F7A"/>
    <w:rsid w:val="3819682B"/>
    <w:rsid w:val="381A46F3"/>
    <w:rsid w:val="389B0D28"/>
    <w:rsid w:val="3924146F"/>
    <w:rsid w:val="3952130C"/>
    <w:rsid w:val="396B52FF"/>
    <w:rsid w:val="39925ECC"/>
    <w:rsid w:val="39C50F94"/>
    <w:rsid w:val="3A770E59"/>
    <w:rsid w:val="3B0C56FF"/>
    <w:rsid w:val="3B196815"/>
    <w:rsid w:val="3B1A28EA"/>
    <w:rsid w:val="3B636740"/>
    <w:rsid w:val="3B720F91"/>
    <w:rsid w:val="3B7B356E"/>
    <w:rsid w:val="3BC00675"/>
    <w:rsid w:val="3C4172B7"/>
    <w:rsid w:val="3C5C25A4"/>
    <w:rsid w:val="3C73127C"/>
    <w:rsid w:val="3C94055A"/>
    <w:rsid w:val="3CB62439"/>
    <w:rsid w:val="3CC65D30"/>
    <w:rsid w:val="3D4C264E"/>
    <w:rsid w:val="3D4D289B"/>
    <w:rsid w:val="3D622645"/>
    <w:rsid w:val="3D77165C"/>
    <w:rsid w:val="3DE32739"/>
    <w:rsid w:val="3E0D54BC"/>
    <w:rsid w:val="3E1C4171"/>
    <w:rsid w:val="3E2B466A"/>
    <w:rsid w:val="3E85306F"/>
    <w:rsid w:val="3EB57085"/>
    <w:rsid w:val="3F0E556E"/>
    <w:rsid w:val="3F190205"/>
    <w:rsid w:val="3F4E64A2"/>
    <w:rsid w:val="402260DC"/>
    <w:rsid w:val="40F93719"/>
    <w:rsid w:val="4168293F"/>
    <w:rsid w:val="4169727A"/>
    <w:rsid w:val="41C135B2"/>
    <w:rsid w:val="41E42CC3"/>
    <w:rsid w:val="42A23838"/>
    <w:rsid w:val="42A30C52"/>
    <w:rsid w:val="436C339A"/>
    <w:rsid w:val="44340194"/>
    <w:rsid w:val="444E2526"/>
    <w:rsid w:val="45234886"/>
    <w:rsid w:val="4537474A"/>
    <w:rsid w:val="455A407D"/>
    <w:rsid w:val="455B6D38"/>
    <w:rsid w:val="45AD7741"/>
    <w:rsid w:val="45D46D83"/>
    <w:rsid w:val="46140982"/>
    <w:rsid w:val="46316AF8"/>
    <w:rsid w:val="464901CA"/>
    <w:rsid w:val="46586296"/>
    <w:rsid w:val="467269CA"/>
    <w:rsid w:val="46F81E16"/>
    <w:rsid w:val="47113BFD"/>
    <w:rsid w:val="47E17B80"/>
    <w:rsid w:val="480165EC"/>
    <w:rsid w:val="481428AB"/>
    <w:rsid w:val="485777AB"/>
    <w:rsid w:val="48810D4A"/>
    <w:rsid w:val="488B4998"/>
    <w:rsid w:val="48CE3EBB"/>
    <w:rsid w:val="48F2026F"/>
    <w:rsid w:val="4909027F"/>
    <w:rsid w:val="49173D10"/>
    <w:rsid w:val="491D08D6"/>
    <w:rsid w:val="49F70093"/>
    <w:rsid w:val="4A1527BA"/>
    <w:rsid w:val="4A285DAD"/>
    <w:rsid w:val="4A76171A"/>
    <w:rsid w:val="4AB640B5"/>
    <w:rsid w:val="4AC55FE5"/>
    <w:rsid w:val="4B701653"/>
    <w:rsid w:val="4BC53739"/>
    <w:rsid w:val="4C6F1AEB"/>
    <w:rsid w:val="4C791175"/>
    <w:rsid w:val="4C7954AA"/>
    <w:rsid w:val="4C824A89"/>
    <w:rsid w:val="4C9F6965"/>
    <w:rsid w:val="4CB02DAF"/>
    <w:rsid w:val="4CC05D7C"/>
    <w:rsid w:val="4CD52E02"/>
    <w:rsid w:val="4D3E3AF2"/>
    <w:rsid w:val="4E0C323F"/>
    <w:rsid w:val="4E515C48"/>
    <w:rsid w:val="4E5264D1"/>
    <w:rsid w:val="4E6A6C16"/>
    <w:rsid w:val="4E8C65A8"/>
    <w:rsid w:val="4ED42A5F"/>
    <w:rsid w:val="4ED83BE5"/>
    <w:rsid w:val="4F0330B0"/>
    <w:rsid w:val="4F17138B"/>
    <w:rsid w:val="4F21584A"/>
    <w:rsid w:val="4F4668F2"/>
    <w:rsid w:val="4F855498"/>
    <w:rsid w:val="4FE861AB"/>
    <w:rsid w:val="508D069D"/>
    <w:rsid w:val="508D15D4"/>
    <w:rsid w:val="50EB54B0"/>
    <w:rsid w:val="511A2ECD"/>
    <w:rsid w:val="51793342"/>
    <w:rsid w:val="5201015D"/>
    <w:rsid w:val="520F2A1F"/>
    <w:rsid w:val="52717425"/>
    <w:rsid w:val="52A8181E"/>
    <w:rsid w:val="52AB5C4A"/>
    <w:rsid w:val="53445634"/>
    <w:rsid w:val="543344E7"/>
    <w:rsid w:val="54741D22"/>
    <w:rsid w:val="54A00B64"/>
    <w:rsid w:val="54C87292"/>
    <w:rsid w:val="54CD27D5"/>
    <w:rsid w:val="54F62A8F"/>
    <w:rsid w:val="554147C8"/>
    <w:rsid w:val="55743D09"/>
    <w:rsid w:val="55C37FD4"/>
    <w:rsid w:val="55DC0B65"/>
    <w:rsid w:val="55F84858"/>
    <w:rsid w:val="562B39C7"/>
    <w:rsid w:val="56F57AD2"/>
    <w:rsid w:val="571540FA"/>
    <w:rsid w:val="57510D71"/>
    <w:rsid w:val="577375B8"/>
    <w:rsid w:val="586326E8"/>
    <w:rsid w:val="58C829CB"/>
    <w:rsid w:val="59380D07"/>
    <w:rsid w:val="59583BB1"/>
    <w:rsid w:val="5A445807"/>
    <w:rsid w:val="5A740F89"/>
    <w:rsid w:val="5A7B3FC6"/>
    <w:rsid w:val="5AE02950"/>
    <w:rsid w:val="5AEA52AC"/>
    <w:rsid w:val="5B817FA3"/>
    <w:rsid w:val="5BC94DB4"/>
    <w:rsid w:val="5C541CA7"/>
    <w:rsid w:val="5CFA3FA6"/>
    <w:rsid w:val="5D55381E"/>
    <w:rsid w:val="5D671CF5"/>
    <w:rsid w:val="5D7D3502"/>
    <w:rsid w:val="5D803EA4"/>
    <w:rsid w:val="5D812D93"/>
    <w:rsid w:val="5D9154FC"/>
    <w:rsid w:val="5D92553F"/>
    <w:rsid w:val="5DC07B85"/>
    <w:rsid w:val="5DCE512C"/>
    <w:rsid w:val="5E041ED4"/>
    <w:rsid w:val="5E0435B6"/>
    <w:rsid w:val="5E0745D3"/>
    <w:rsid w:val="5E746C5D"/>
    <w:rsid w:val="5E860705"/>
    <w:rsid w:val="5E911E68"/>
    <w:rsid w:val="5ED61F31"/>
    <w:rsid w:val="5ED95AE1"/>
    <w:rsid w:val="5F114F66"/>
    <w:rsid w:val="5F4014A8"/>
    <w:rsid w:val="5F455E82"/>
    <w:rsid w:val="5FA84B0C"/>
    <w:rsid w:val="5FCE245A"/>
    <w:rsid w:val="5FCF2630"/>
    <w:rsid w:val="601A5041"/>
    <w:rsid w:val="60840153"/>
    <w:rsid w:val="60F236BF"/>
    <w:rsid w:val="60F4335B"/>
    <w:rsid w:val="61234FCE"/>
    <w:rsid w:val="61257219"/>
    <w:rsid w:val="61301B10"/>
    <w:rsid w:val="61774508"/>
    <w:rsid w:val="618E477A"/>
    <w:rsid w:val="61A62B6F"/>
    <w:rsid w:val="61DA4CAA"/>
    <w:rsid w:val="61E9589D"/>
    <w:rsid w:val="62723D17"/>
    <w:rsid w:val="62771169"/>
    <w:rsid w:val="62B203EA"/>
    <w:rsid w:val="62BF20AC"/>
    <w:rsid w:val="63027901"/>
    <w:rsid w:val="63240CC3"/>
    <w:rsid w:val="63556962"/>
    <w:rsid w:val="63690B96"/>
    <w:rsid w:val="63D358C1"/>
    <w:rsid w:val="63EB2361"/>
    <w:rsid w:val="63EC3FE0"/>
    <w:rsid w:val="640D14C1"/>
    <w:rsid w:val="640F02E3"/>
    <w:rsid w:val="641017D7"/>
    <w:rsid w:val="64121B3E"/>
    <w:rsid w:val="64170DC6"/>
    <w:rsid w:val="64596B25"/>
    <w:rsid w:val="646B6124"/>
    <w:rsid w:val="649B2CB8"/>
    <w:rsid w:val="64C30C72"/>
    <w:rsid w:val="65393371"/>
    <w:rsid w:val="65D856DF"/>
    <w:rsid w:val="65E32DAE"/>
    <w:rsid w:val="65F81AA2"/>
    <w:rsid w:val="66584234"/>
    <w:rsid w:val="66F8442A"/>
    <w:rsid w:val="670007AF"/>
    <w:rsid w:val="675937F6"/>
    <w:rsid w:val="676623F6"/>
    <w:rsid w:val="676C6EE2"/>
    <w:rsid w:val="678200F4"/>
    <w:rsid w:val="67A6586E"/>
    <w:rsid w:val="67F12CE3"/>
    <w:rsid w:val="681746F3"/>
    <w:rsid w:val="68492B0B"/>
    <w:rsid w:val="68D71F60"/>
    <w:rsid w:val="69166044"/>
    <w:rsid w:val="694C10F8"/>
    <w:rsid w:val="696849D3"/>
    <w:rsid w:val="69AC1CBD"/>
    <w:rsid w:val="69B34D5B"/>
    <w:rsid w:val="6A201F3D"/>
    <w:rsid w:val="6A3E104E"/>
    <w:rsid w:val="6A4C51C3"/>
    <w:rsid w:val="6A765954"/>
    <w:rsid w:val="6A88247C"/>
    <w:rsid w:val="6AC96B11"/>
    <w:rsid w:val="6ACA1E60"/>
    <w:rsid w:val="6AE55891"/>
    <w:rsid w:val="6B444896"/>
    <w:rsid w:val="6B82696D"/>
    <w:rsid w:val="6C191382"/>
    <w:rsid w:val="6C230550"/>
    <w:rsid w:val="6C313C3C"/>
    <w:rsid w:val="6C3553BE"/>
    <w:rsid w:val="6C3E6837"/>
    <w:rsid w:val="6C7D7328"/>
    <w:rsid w:val="6C8F4D6D"/>
    <w:rsid w:val="6CA0090B"/>
    <w:rsid w:val="6CC4076D"/>
    <w:rsid w:val="6D787C30"/>
    <w:rsid w:val="6D8B071A"/>
    <w:rsid w:val="6DC97C06"/>
    <w:rsid w:val="6DF52104"/>
    <w:rsid w:val="6E253504"/>
    <w:rsid w:val="6E56629B"/>
    <w:rsid w:val="6E5875A3"/>
    <w:rsid w:val="6ECC422F"/>
    <w:rsid w:val="6EFA3B4B"/>
    <w:rsid w:val="6EFE59C1"/>
    <w:rsid w:val="6F3B4CDF"/>
    <w:rsid w:val="70192FD1"/>
    <w:rsid w:val="7023036F"/>
    <w:rsid w:val="70360A70"/>
    <w:rsid w:val="70392FA4"/>
    <w:rsid w:val="707A6239"/>
    <w:rsid w:val="70C20ADA"/>
    <w:rsid w:val="716C2386"/>
    <w:rsid w:val="71AE190D"/>
    <w:rsid w:val="71B74F82"/>
    <w:rsid w:val="723E2BA6"/>
    <w:rsid w:val="72D873EF"/>
    <w:rsid w:val="72EE24D5"/>
    <w:rsid w:val="73C315D0"/>
    <w:rsid w:val="741B30E0"/>
    <w:rsid w:val="74297B3D"/>
    <w:rsid w:val="7511690C"/>
    <w:rsid w:val="756523CA"/>
    <w:rsid w:val="759745B3"/>
    <w:rsid w:val="7616509A"/>
    <w:rsid w:val="76190902"/>
    <w:rsid w:val="76466D58"/>
    <w:rsid w:val="769578CE"/>
    <w:rsid w:val="770352CE"/>
    <w:rsid w:val="774A3AC9"/>
    <w:rsid w:val="7753353E"/>
    <w:rsid w:val="77A8054C"/>
    <w:rsid w:val="77C14F29"/>
    <w:rsid w:val="77FF61D6"/>
    <w:rsid w:val="78085548"/>
    <w:rsid w:val="783C0F89"/>
    <w:rsid w:val="78B65981"/>
    <w:rsid w:val="791D61A2"/>
    <w:rsid w:val="792415DA"/>
    <w:rsid w:val="79745BB2"/>
    <w:rsid w:val="79B725E4"/>
    <w:rsid w:val="7AC91E5A"/>
    <w:rsid w:val="7B1C3E00"/>
    <w:rsid w:val="7B492A09"/>
    <w:rsid w:val="7B4D7942"/>
    <w:rsid w:val="7B88221C"/>
    <w:rsid w:val="7B9C7067"/>
    <w:rsid w:val="7BA0680D"/>
    <w:rsid w:val="7BB55539"/>
    <w:rsid w:val="7BCB16E9"/>
    <w:rsid w:val="7BFB4B07"/>
    <w:rsid w:val="7C146800"/>
    <w:rsid w:val="7C5C2CC1"/>
    <w:rsid w:val="7C7825D6"/>
    <w:rsid w:val="7CAB1968"/>
    <w:rsid w:val="7D530988"/>
    <w:rsid w:val="7D6638F4"/>
    <w:rsid w:val="7D8B7BE1"/>
    <w:rsid w:val="7DA07714"/>
    <w:rsid w:val="7DC62A9A"/>
    <w:rsid w:val="7DD86FCF"/>
    <w:rsid w:val="7DDB5770"/>
    <w:rsid w:val="7E3A7611"/>
    <w:rsid w:val="7F2A71D3"/>
    <w:rsid w:val="7F321F51"/>
    <w:rsid w:val="7F4131DA"/>
    <w:rsid w:val="7F5C7BA8"/>
    <w:rsid w:val="7F7E58C0"/>
    <w:rsid w:val="7F943F40"/>
    <w:rsid w:val="7FD8079A"/>
    <w:rsid w:val="7FF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spacing w:before="120" w:beforeLines="0" w:after="120" w:afterLines="0"/>
      <w:jc w:val="left"/>
    </w:pPr>
    <w:rPr>
      <w:rFonts w:ascii="Calibri" w:hAnsi="Calibri" w:cs="Calibri"/>
      <w:b/>
      <w:bCs/>
      <w:caps/>
      <w:sz w:val="20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1" Type="http://schemas.openxmlformats.org/officeDocument/2006/relationships/fontTable" Target="fontTable.xml"/><Relationship Id="rId60" Type="http://schemas.openxmlformats.org/officeDocument/2006/relationships/customXml" Target="../customXml/item2.xml"/><Relationship Id="rId6" Type="http://schemas.openxmlformats.org/officeDocument/2006/relationships/image" Target="media/image2.png"/><Relationship Id="rId59" Type="http://schemas.openxmlformats.org/officeDocument/2006/relationships/numbering" Target="numbering.xml"/><Relationship Id="rId58" Type="http://schemas.openxmlformats.org/officeDocument/2006/relationships/customXml" Target="../customXml/item1.xml"/><Relationship Id="rId57" Type="http://schemas.openxmlformats.org/officeDocument/2006/relationships/image" Target="media/image53.png"/><Relationship Id="rId56" Type="http://schemas.openxmlformats.org/officeDocument/2006/relationships/image" Target="media/image52.wmf"/><Relationship Id="rId55" Type="http://schemas.openxmlformats.org/officeDocument/2006/relationships/image" Target="media/image51.wmf"/><Relationship Id="rId54" Type="http://schemas.openxmlformats.org/officeDocument/2006/relationships/image" Target="media/image50.wmf"/><Relationship Id="rId53" Type="http://schemas.openxmlformats.org/officeDocument/2006/relationships/image" Target="media/image49.wmf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emf"/><Relationship Id="rId5" Type="http://schemas.openxmlformats.org/officeDocument/2006/relationships/image" Target="media/image1.png"/><Relationship Id="rId49" Type="http://schemas.openxmlformats.org/officeDocument/2006/relationships/image" Target="media/image45.wmf"/><Relationship Id="rId48" Type="http://schemas.openxmlformats.org/officeDocument/2006/relationships/image" Target="media/image44.wmf"/><Relationship Id="rId47" Type="http://schemas.openxmlformats.org/officeDocument/2006/relationships/image" Target="media/image43.wmf"/><Relationship Id="rId46" Type="http://schemas.openxmlformats.org/officeDocument/2006/relationships/image" Target="media/image42.wmf"/><Relationship Id="rId45" Type="http://schemas.openxmlformats.org/officeDocument/2006/relationships/image" Target="media/image41.wmf"/><Relationship Id="rId44" Type="http://schemas.openxmlformats.org/officeDocument/2006/relationships/image" Target="media/image40.wmf"/><Relationship Id="rId43" Type="http://schemas.openxmlformats.org/officeDocument/2006/relationships/image" Target="media/image39.wmf"/><Relationship Id="rId42" Type="http://schemas.openxmlformats.org/officeDocument/2006/relationships/image" Target="media/image38.wmf"/><Relationship Id="rId41" Type="http://schemas.openxmlformats.org/officeDocument/2006/relationships/image" Target="media/image37.png"/><Relationship Id="rId40" Type="http://schemas.openxmlformats.org/officeDocument/2006/relationships/image" Target="media/image36.wmf"/><Relationship Id="rId4" Type="http://schemas.openxmlformats.org/officeDocument/2006/relationships/theme" Target="theme/theme1.xml"/><Relationship Id="rId39" Type="http://schemas.openxmlformats.org/officeDocument/2006/relationships/image" Target="media/image35.wmf"/><Relationship Id="rId38" Type="http://schemas.openxmlformats.org/officeDocument/2006/relationships/image" Target="media/image34.png"/><Relationship Id="rId37" Type="http://schemas.openxmlformats.org/officeDocument/2006/relationships/image" Target="media/image33.wmf"/><Relationship Id="rId36" Type="http://schemas.openxmlformats.org/officeDocument/2006/relationships/image" Target="media/image32.wmf"/><Relationship Id="rId35" Type="http://schemas.openxmlformats.org/officeDocument/2006/relationships/image" Target="media/image31.wmf"/><Relationship Id="rId34" Type="http://schemas.openxmlformats.org/officeDocument/2006/relationships/image" Target="media/image30.wmf"/><Relationship Id="rId33" Type="http://schemas.openxmlformats.org/officeDocument/2006/relationships/image" Target="media/image29.png"/><Relationship Id="rId32" Type="http://schemas.openxmlformats.org/officeDocument/2006/relationships/image" Target="media/image28.wmf"/><Relationship Id="rId31" Type="http://schemas.openxmlformats.org/officeDocument/2006/relationships/image" Target="media/image27.wmf"/><Relationship Id="rId30" Type="http://schemas.openxmlformats.org/officeDocument/2006/relationships/image" Target="media/image26.wmf"/><Relationship Id="rId3" Type="http://schemas.openxmlformats.org/officeDocument/2006/relationships/footer" Target="footer1.xml"/><Relationship Id="rId29" Type="http://schemas.openxmlformats.org/officeDocument/2006/relationships/image" Target="media/image25.wmf"/><Relationship Id="rId28" Type="http://schemas.openxmlformats.org/officeDocument/2006/relationships/image" Target="media/image24.wmf"/><Relationship Id="rId27" Type="http://schemas.openxmlformats.org/officeDocument/2006/relationships/image" Target="media/image23.wmf"/><Relationship Id="rId26" Type="http://schemas.openxmlformats.org/officeDocument/2006/relationships/image" Target="media/image22.wmf"/><Relationship Id="rId25" Type="http://schemas.openxmlformats.org/officeDocument/2006/relationships/image" Target="media/image21.wmf"/><Relationship Id="rId24" Type="http://schemas.openxmlformats.org/officeDocument/2006/relationships/image" Target="media/image20.wmf"/><Relationship Id="rId23" Type="http://schemas.openxmlformats.org/officeDocument/2006/relationships/image" Target="media/image19.wmf"/><Relationship Id="rId22" Type="http://schemas.openxmlformats.org/officeDocument/2006/relationships/image" Target="media/image18.wmf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78730C-9F56-416F-8B58-557BDA2202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1275</Words>
  <Characters>7272</Characters>
  <Lines>60</Lines>
  <Paragraphs>17</Paragraphs>
  <TotalTime>0</TotalTime>
  <ScaleCrop>false</ScaleCrop>
  <LinksUpToDate>false</LinksUpToDate>
  <CharactersWithSpaces>8530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2017-11-24T04:19:00Z</dcterms:created>
  <dc:creator>User</dc:creator>
  <cp:lastModifiedBy>郭虹燕</cp:lastModifiedBy>
  <cp:lastPrinted>2017-11-24T05:30:00Z</cp:lastPrinted>
  <dcterms:modified xsi:type="dcterms:W3CDTF">2020-01-02T02:54:27Z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