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pPr>
    </w:p>
    <w:p>
      <w:pPr>
        <w:pStyle w:val="35"/>
        <w:rPr>
          <w:rFonts w:ascii="黑体" w:hAnsi="黑体" w:eastAsia="黑体"/>
          <w:b w:val="0"/>
          <w:szCs w:val="44"/>
        </w:rPr>
      </w:pPr>
      <w:r>
        <w:rPr>
          <w:rFonts w:hint="eastAsia" w:ascii="黑体" w:hAnsi="黑体" w:eastAsia="黑体"/>
          <w:b w:val="0"/>
          <w:szCs w:val="44"/>
        </w:rPr>
        <w:t xml:space="preserve">云南省工程建设地方标准 </w:t>
      </w:r>
      <w:r>
        <w:rPr>
          <w:rFonts w:ascii="黑体" w:hAnsi="黑体" w:eastAsia="黑体"/>
          <w:b w:val="0"/>
          <w:szCs w:val="44"/>
        </w:rPr>
        <w:t xml:space="preserve">   </w:t>
      </w:r>
      <w:r>
        <w:rPr>
          <w:rFonts w:ascii="仿宋" w:hAnsi="仿宋" w:eastAsia="仿宋"/>
          <w:sz w:val="84"/>
          <w:szCs w:val="84"/>
        </w:rPr>
        <w:t>DB</w:t>
      </w:r>
    </w:p>
    <w:p>
      <w:pPr>
        <w:spacing w:line="360" w:lineRule="auto"/>
        <w:ind w:firstLine="562"/>
        <w:jc w:val="right"/>
        <w:rPr>
          <w:b/>
          <w:bCs/>
          <w:sz w:val="28"/>
          <w:szCs w:val="28"/>
        </w:rPr>
      </w:pPr>
      <w:r>
        <w:rPr>
          <w:b/>
          <w:bCs/>
          <w:sz w:val="28"/>
          <w:szCs w:val="28"/>
        </w:rPr>
        <w:t>DBJ -xxx-2023</w:t>
      </w:r>
    </w:p>
    <w:p>
      <w:pPr>
        <w:ind w:firstLine="562"/>
        <w:jc w:val="right"/>
        <w:rPr>
          <w:b/>
          <w:bCs/>
          <w:sz w:val="28"/>
          <w:szCs w:val="28"/>
        </w:rPr>
      </w:pPr>
      <w:r>
        <w:rPr>
          <w:rFonts w:hint="eastAsia" w:ascii="仿宋" w:hAnsi="仿宋" w:eastAsia="仿宋"/>
          <w:b/>
          <w:bCs/>
          <w:sz w:val="28"/>
          <w:szCs w:val="28"/>
        </w:rPr>
        <w:t>P</w:t>
      </w:r>
      <w:r>
        <w:rPr>
          <w:rFonts w:ascii="仿宋" w:hAnsi="仿宋" w:eastAsia="仿宋"/>
          <w:b/>
          <w:bCs/>
          <w:sz w:val="28"/>
          <w:szCs w:val="28"/>
        </w:rPr>
        <w:t xml:space="preserve">      </w:t>
      </w:r>
      <w:r>
        <w:rPr>
          <w:b/>
          <w:bCs/>
          <w:sz w:val="28"/>
          <w:szCs w:val="28"/>
        </w:rPr>
        <w:t xml:space="preserve">                                      </w:t>
      </w:r>
      <w:r>
        <w:rPr>
          <w:rFonts w:hint="eastAsia"/>
          <w:b/>
          <w:bCs/>
          <w:sz w:val="28"/>
          <w:szCs w:val="28"/>
        </w:rPr>
        <w:t>备案号：</w:t>
      </w:r>
      <w:r>
        <w:rPr>
          <w:rFonts w:ascii="仿宋" w:hAnsi="仿宋" w:eastAsia="仿宋"/>
          <w:b/>
          <w:bCs/>
          <w:sz w:val="28"/>
          <w:szCs w:val="28"/>
        </w:rPr>
        <w:t xml:space="preserve"> xxxxxx-2023</w:t>
      </w:r>
    </w:p>
    <w:p>
      <w:pPr>
        <w:ind w:firstLine="560"/>
        <w:rPr>
          <w:sz w:val="28"/>
          <w:szCs w:val="28"/>
          <w:u w:val="single"/>
        </w:rPr>
      </w:pPr>
      <w:r>
        <w:rPr>
          <w:sz w:val="28"/>
          <w:szCs w:val="28"/>
          <w:u w:val="single"/>
        </w:rPr>
        <w:t xml:space="preserve">                                                              </w:t>
      </w:r>
    </w:p>
    <w:p>
      <w:pPr>
        <w:pStyle w:val="35"/>
        <w:jc w:val="both"/>
        <w:rPr>
          <w:rFonts w:asciiTheme="minorHAnsi" w:hAnsiTheme="minorHAnsi" w:eastAsiaTheme="minorEastAsia"/>
          <w:b w:val="0"/>
          <w:sz w:val="21"/>
          <w:szCs w:val="24"/>
        </w:rPr>
      </w:pPr>
    </w:p>
    <w:p>
      <w:pPr>
        <w:pStyle w:val="35"/>
        <w:jc w:val="both"/>
        <w:rPr>
          <w:rFonts w:ascii="黑体" w:hAnsi="黑体" w:eastAsia="黑体"/>
          <w:sz w:val="48"/>
          <w:szCs w:val="48"/>
        </w:rPr>
      </w:pPr>
      <w:r>
        <w:rPr>
          <w:rFonts w:hint="eastAsia" w:ascii="黑体" w:hAnsi="黑体" w:eastAsia="黑体"/>
          <w:sz w:val="48"/>
          <w:szCs w:val="48"/>
        </w:rPr>
        <w:t>云南省城市桥梁健康监测系统技术规程</w:t>
      </w:r>
    </w:p>
    <w:p>
      <w:pPr>
        <w:ind w:firstLine="0" w:firstLineChars="0"/>
        <w:jc w:val="center"/>
      </w:pPr>
      <w:r>
        <w:rPr>
          <w:rFonts w:hint="default" w:ascii="Times New Roman" w:hAnsi="Times New Roman" w:eastAsia="黑体" w:cs="Times New Roman"/>
          <w:sz w:val="48"/>
          <w:szCs w:val="48"/>
        </w:rPr>
        <w:t xml:space="preserve">Technical </w:t>
      </w:r>
      <w:r>
        <w:rPr>
          <w:rFonts w:hint="eastAsia" w:eastAsia="黑体" w:cs="Times New Roman"/>
          <w:sz w:val="48"/>
          <w:szCs w:val="48"/>
          <w:lang w:val="en-US" w:eastAsia="zh-CN"/>
        </w:rPr>
        <w:t>Code</w:t>
      </w:r>
      <w:r>
        <w:rPr>
          <w:rFonts w:hint="default" w:ascii="Times New Roman" w:hAnsi="Times New Roman" w:eastAsia="黑体" w:cs="Times New Roman"/>
          <w:sz w:val="48"/>
          <w:szCs w:val="48"/>
        </w:rPr>
        <w:t xml:space="preserve"> for </w:t>
      </w:r>
      <w:r>
        <w:rPr>
          <w:rFonts w:hint="eastAsia" w:ascii="Times New Roman" w:hAnsi="Times New Roman" w:eastAsia="黑体" w:cs="Times New Roman"/>
          <w:sz w:val="48"/>
          <w:szCs w:val="48"/>
          <w:lang w:val="en-US" w:eastAsia="zh-CN"/>
        </w:rPr>
        <w:t>U</w:t>
      </w:r>
      <w:r>
        <w:rPr>
          <w:rFonts w:hint="default" w:ascii="Times New Roman" w:hAnsi="Times New Roman" w:eastAsia="黑体" w:cs="Times New Roman"/>
          <w:sz w:val="48"/>
          <w:szCs w:val="48"/>
        </w:rPr>
        <w:t xml:space="preserve">rban </w:t>
      </w:r>
      <w:r>
        <w:rPr>
          <w:rFonts w:hint="eastAsia" w:ascii="Times New Roman" w:hAnsi="Times New Roman" w:eastAsia="黑体" w:cs="Times New Roman"/>
          <w:sz w:val="48"/>
          <w:szCs w:val="48"/>
          <w:lang w:val="en-US" w:eastAsia="zh-CN"/>
        </w:rPr>
        <w:t>B</w:t>
      </w:r>
      <w:r>
        <w:rPr>
          <w:rFonts w:hint="default" w:ascii="Times New Roman" w:hAnsi="Times New Roman" w:eastAsia="黑体" w:cs="Times New Roman"/>
          <w:sz w:val="48"/>
          <w:szCs w:val="48"/>
        </w:rPr>
        <w:t>ridg</w:t>
      </w:r>
      <w:r>
        <w:rPr>
          <w:rFonts w:hint="default" w:ascii="Times New Roman" w:hAnsi="Times New Roman" w:eastAsia="黑体" w:cs="Times New Roman"/>
          <w:sz w:val="48"/>
          <w:szCs w:val="48"/>
          <w:highlight w:val="none"/>
        </w:rPr>
        <w:t xml:space="preserve">e </w:t>
      </w:r>
      <w:r>
        <w:rPr>
          <w:rFonts w:hint="eastAsia" w:ascii="Times New Roman" w:hAnsi="Times New Roman" w:eastAsia="黑体" w:cs="Times New Roman"/>
          <w:sz w:val="48"/>
          <w:szCs w:val="48"/>
          <w:highlight w:val="none"/>
          <w:lang w:val="en-US" w:eastAsia="zh-CN"/>
        </w:rPr>
        <w:t>Hazard</w:t>
      </w:r>
      <w:r>
        <w:rPr>
          <w:rFonts w:hint="default" w:ascii="Times New Roman" w:hAnsi="Times New Roman" w:eastAsia="黑体" w:cs="Times New Roman"/>
          <w:sz w:val="48"/>
          <w:szCs w:val="48"/>
          <w:highlight w:val="none"/>
        </w:rPr>
        <w:t xml:space="preserve"> </w:t>
      </w:r>
      <w:r>
        <w:rPr>
          <w:rFonts w:hint="eastAsia" w:ascii="Times New Roman" w:hAnsi="Times New Roman" w:eastAsia="黑体" w:cs="Times New Roman"/>
          <w:sz w:val="48"/>
          <w:szCs w:val="48"/>
          <w:highlight w:val="none"/>
          <w:lang w:val="en-US" w:eastAsia="zh-CN"/>
        </w:rPr>
        <w:t>M</w:t>
      </w:r>
      <w:r>
        <w:rPr>
          <w:rFonts w:hint="default" w:ascii="Times New Roman" w:hAnsi="Times New Roman" w:eastAsia="黑体" w:cs="Times New Roman"/>
          <w:sz w:val="48"/>
          <w:szCs w:val="48"/>
        </w:rPr>
        <w:t xml:space="preserve">onitoring </w:t>
      </w:r>
      <w:r>
        <w:rPr>
          <w:rFonts w:hint="eastAsia" w:ascii="Times New Roman" w:hAnsi="Times New Roman" w:eastAsia="黑体" w:cs="Times New Roman"/>
          <w:sz w:val="48"/>
          <w:szCs w:val="48"/>
          <w:lang w:val="en-US" w:eastAsia="zh-CN"/>
        </w:rPr>
        <w:t>S</w:t>
      </w:r>
      <w:r>
        <w:rPr>
          <w:rFonts w:hint="default" w:ascii="Times New Roman" w:hAnsi="Times New Roman" w:eastAsia="黑体" w:cs="Times New Roman"/>
          <w:sz w:val="48"/>
          <w:szCs w:val="48"/>
        </w:rPr>
        <w:t xml:space="preserve">ystem </w:t>
      </w:r>
      <w:r>
        <w:rPr>
          <w:rFonts w:hint="default" w:ascii="Times New Roman" w:hAnsi="Times New Roman" w:eastAsia="黑体" w:cs="Times New Roman"/>
          <w:sz w:val="48"/>
          <w:szCs w:val="48"/>
          <w:highlight w:val="none"/>
        </w:rPr>
        <w:t>in Yunnan Province</w:t>
      </w:r>
    </w:p>
    <w:p>
      <w:pPr>
        <w:ind w:firstLine="0" w:firstLineChars="0"/>
        <w:jc w:val="center"/>
        <w:rPr>
          <w:sz w:val="32"/>
          <w:szCs w:val="32"/>
        </w:rPr>
      </w:pPr>
      <w:r>
        <w:rPr>
          <w:rFonts w:hint="eastAsia"/>
          <w:sz w:val="32"/>
          <w:szCs w:val="32"/>
        </w:rPr>
        <w:t>（征求意见稿）</w:t>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spacing w:line="360" w:lineRule="auto"/>
        <w:ind w:firstLine="562"/>
        <w:rPr>
          <w:b/>
          <w:bCs/>
          <w:sz w:val="28"/>
          <w:szCs w:val="28"/>
        </w:rPr>
      </w:pPr>
      <w:r>
        <w:rPr>
          <w:rFonts w:hint="eastAsia"/>
          <w:b/>
          <w:bCs/>
          <w:sz w:val="28"/>
          <w:szCs w:val="28"/>
        </w:rPr>
        <w:t>2</w:t>
      </w:r>
      <w:r>
        <w:rPr>
          <w:b/>
          <w:bCs/>
          <w:sz w:val="28"/>
          <w:szCs w:val="28"/>
        </w:rPr>
        <w:t xml:space="preserve">023-xx-xx  </w:t>
      </w:r>
      <w:r>
        <w:rPr>
          <w:rFonts w:hint="eastAsia"/>
          <w:b/>
          <w:bCs/>
          <w:sz w:val="28"/>
          <w:szCs w:val="28"/>
        </w:rPr>
        <w:t xml:space="preserve">发布 </w:t>
      </w:r>
      <w:r>
        <w:rPr>
          <w:b/>
          <w:bCs/>
          <w:sz w:val="28"/>
          <w:szCs w:val="28"/>
        </w:rPr>
        <w:t xml:space="preserve">                      2024-</w:t>
      </w:r>
      <w:r>
        <w:rPr>
          <w:rFonts w:hint="eastAsia"/>
          <w:b/>
          <w:bCs/>
          <w:sz w:val="28"/>
          <w:szCs w:val="28"/>
        </w:rPr>
        <w:t>xx-</w:t>
      </w:r>
      <w:r>
        <w:rPr>
          <w:b/>
          <w:bCs/>
          <w:sz w:val="28"/>
          <w:szCs w:val="28"/>
        </w:rPr>
        <w:t>xx</w:t>
      </w:r>
      <w:r>
        <w:rPr>
          <w:rFonts w:hint="eastAsia"/>
          <w:b/>
          <w:bCs/>
          <w:sz w:val="28"/>
          <w:szCs w:val="28"/>
        </w:rPr>
        <w:t>实施</w:t>
      </w:r>
    </w:p>
    <w:p>
      <w:pPr>
        <w:spacing w:line="360" w:lineRule="auto"/>
        <w:ind w:firstLine="560"/>
        <w:rPr>
          <w:b/>
          <w:bCs/>
          <w:sz w:val="28"/>
          <w:szCs w:val="28"/>
        </w:rPr>
      </w:pPr>
      <w:r>
        <w:rPr>
          <w:sz w:val="28"/>
          <w:szCs w:val="28"/>
          <w:u w:val="single"/>
        </w:rPr>
        <w:t xml:space="preserve">                                                     </w:t>
      </w:r>
    </w:p>
    <w:p>
      <w:pPr>
        <w:pStyle w:val="13"/>
        <w:ind w:left="6000" w:firstLine="480"/>
      </w:pPr>
    </w:p>
    <w:p>
      <w:pPr>
        <w:ind w:firstLine="0" w:firstLineChars="0"/>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hint="eastAsia" w:ascii="黑体" w:hAnsi="黑体" w:eastAsia="黑体"/>
          <w:sz w:val="44"/>
          <w:szCs w:val="44"/>
        </w:rPr>
        <w:t xml:space="preserve">云南省住房和城乡建设厅 </w:t>
      </w:r>
      <w:r>
        <w:rPr>
          <w:rFonts w:ascii="黑体" w:hAnsi="黑体" w:eastAsia="黑体"/>
          <w:sz w:val="44"/>
          <w:szCs w:val="44"/>
        </w:rPr>
        <w:t xml:space="preserve">    </w:t>
      </w:r>
      <w:r>
        <w:rPr>
          <w:rFonts w:hint="eastAsia" w:ascii="黑体" w:hAnsi="黑体" w:eastAsia="黑体"/>
          <w:sz w:val="44"/>
          <w:szCs w:val="44"/>
        </w:rPr>
        <w:t>发布</w:t>
      </w:r>
    </w:p>
    <w:p>
      <w:pPr>
        <w:pStyle w:val="32"/>
      </w:pPr>
      <w:bookmarkStart w:id="0" w:name="_Toc130978703"/>
      <w:bookmarkStart w:id="1" w:name="_Toc134615690"/>
      <w:bookmarkStart w:id="2" w:name="_Toc130979222"/>
      <w:bookmarkStart w:id="3" w:name="_Toc134616238"/>
      <w:bookmarkStart w:id="4" w:name="_Toc134777410"/>
      <w:bookmarkStart w:id="5" w:name="_Toc136506051"/>
      <w:bookmarkStart w:id="6" w:name="_Toc136504989"/>
      <w:bookmarkStart w:id="7" w:name="_Toc132273572"/>
      <w:bookmarkStart w:id="8" w:name="char1"/>
      <w:r>
        <w:rPr>
          <w:rFonts w:hint="eastAsia"/>
        </w:rPr>
        <w:t>前   言</w:t>
      </w:r>
      <w:bookmarkEnd w:id="0"/>
      <w:bookmarkEnd w:id="1"/>
      <w:bookmarkEnd w:id="2"/>
      <w:bookmarkEnd w:id="3"/>
      <w:bookmarkEnd w:id="4"/>
      <w:bookmarkEnd w:id="5"/>
      <w:bookmarkEnd w:id="6"/>
      <w:bookmarkEnd w:id="7"/>
    </w:p>
    <w:p>
      <w:pPr>
        <w:ind w:firstLine="480"/>
      </w:pPr>
      <w:r>
        <w:rPr>
          <w:rFonts w:hint="eastAsia"/>
        </w:rPr>
        <w:t>本规程根据云南省住房和城乡建设厅《关于印发云南省2020年工程建设地方标准编制计划（第一批）的通知》要求，规程编制组经广泛调查研究，认真总结实践经验，参考国内有关标准，并在广泛征求意见的基础上，制定本规程。</w:t>
      </w:r>
    </w:p>
    <w:p>
      <w:pPr>
        <w:ind w:firstLine="480"/>
      </w:pPr>
      <w:r>
        <w:rPr>
          <w:rFonts w:hint="eastAsia"/>
        </w:rPr>
        <w:t>本规程的主要技术内容有：总则、术语、基本规定、系统设计、系统实施、系统管理及维护，本规程用词说明、本规程引用标准</w:t>
      </w:r>
      <w:r>
        <w:rPr>
          <w:rFonts w:hint="eastAsia"/>
          <w:lang w:eastAsia="zh-CN"/>
        </w:rPr>
        <w:t>名</w:t>
      </w:r>
      <w:r>
        <w:rPr>
          <w:rFonts w:hint="eastAsia"/>
        </w:rPr>
        <w:t>录和条文说明。</w:t>
      </w:r>
    </w:p>
    <w:p>
      <w:pPr>
        <w:ind w:firstLine="480"/>
      </w:pPr>
      <w:r>
        <w:rPr>
          <w:rFonts w:hint="eastAsia"/>
        </w:rPr>
        <w:t>本规程由云南省住房和城乡建设厅负责发布和归口管理。由云南省设计院集团有限公司负责具体技术内容的解释。执行过程中如有意见或建议，请寄送云南省设计院集团有限公司。（地址：　　　　　　　　邮编：　　　　　　　　　邮箱：　　）</w:t>
      </w:r>
    </w:p>
    <w:p>
      <w:pPr>
        <w:ind w:firstLine="480"/>
      </w:pPr>
    </w:p>
    <w:p>
      <w:pPr>
        <w:ind w:firstLine="480"/>
      </w:pPr>
      <w:r>
        <w:rPr>
          <w:rFonts w:hint="eastAsia"/>
        </w:rPr>
        <w:t>主编单位：云南省设计院集团有限公司</w:t>
      </w:r>
    </w:p>
    <w:p>
      <w:pPr>
        <w:ind w:firstLine="480"/>
      </w:pPr>
      <w:r>
        <w:rPr>
          <w:rFonts w:hint="eastAsia"/>
        </w:rPr>
        <w:t>　　　　　国投工程检验检测有限公司</w:t>
      </w:r>
    </w:p>
    <w:p>
      <w:pPr>
        <w:ind w:firstLine="480"/>
      </w:pPr>
      <w:r>
        <w:rPr>
          <w:rFonts w:hint="eastAsia"/>
        </w:rPr>
        <w:t>　　　　　招商局重庆公路工程检测中心有限公司</w:t>
      </w:r>
    </w:p>
    <w:p>
      <w:pPr>
        <w:ind w:firstLine="480"/>
      </w:pPr>
      <w:r>
        <w:rPr>
          <w:rFonts w:hint="eastAsia"/>
        </w:rPr>
        <w:t>参编单位：中国电建集团昆明勘测设计研究院有限公司</w:t>
      </w:r>
    </w:p>
    <w:p>
      <w:pPr>
        <w:ind w:firstLine="480"/>
      </w:pPr>
      <w:r>
        <w:rPr>
          <w:rFonts w:hint="eastAsia"/>
        </w:rPr>
        <w:t>　　　　　云南省市政工程协会</w:t>
      </w:r>
    </w:p>
    <w:p>
      <w:pPr>
        <w:ind w:firstLine="480"/>
      </w:pPr>
      <w:r>
        <w:rPr>
          <w:rFonts w:hint="eastAsia"/>
        </w:rPr>
        <w:t>　　　　　昆明桥隧管理有限公司</w:t>
      </w:r>
    </w:p>
    <w:p>
      <w:pPr>
        <w:ind w:firstLine="480"/>
      </w:pPr>
      <w:r>
        <w:rPr>
          <w:rFonts w:hint="eastAsia"/>
        </w:rPr>
        <w:t>　　　　　云南省勘察设计协会</w:t>
      </w:r>
    </w:p>
    <w:p>
      <w:pPr>
        <w:ind w:firstLine="480"/>
      </w:pPr>
      <w:r>
        <w:rPr>
          <w:rFonts w:hint="eastAsia"/>
        </w:rPr>
        <w:t>　　　　　华昆工程管理咨询有限公司</w:t>
      </w:r>
    </w:p>
    <w:p>
      <w:pPr>
        <w:ind w:firstLine="480"/>
      </w:pPr>
      <w:r>
        <w:rPr>
          <w:rFonts w:hint="eastAsia"/>
        </w:rPr>
        <w:t>　　　　　中星数创（云南）科技有限公司</w:t>
      </w:r>
    </w:p>
    <w:p>
      <w:pPr>
        <w:ind w:firstLine="480"/>
      </w:pPr>
      <w:r>
        <w:rPr>
          <w:rFonts w:hint="eastAsia"/>
        </w:rPr>
        <w:t>　　　　　四川升拓检测技术股份有限公司</w:t>
      </w:r>
    </w:p>
    <w:p>
      <w:pPr>
        <w:ind w:firstLine="480"/>
      </w:pPr>
      <w:r>
        <w:rPr>
          <w:rFonts w:hint="eastAsia"/>
        </w:rPr>
        <w:t>　　　　　云南云检工程技术检测有限公司</w:t>
      </w:r>
    </w:p>
    <w:p>
      <w:pPr>
        <w:ind w:firstLine="480"/>
      </w:pPr>
      <w:r>
        <w:rPr>
          <w:rFonts w:hint="eastAsia"/>
        </w:rPr>
        <w:t>　　　　　昆明理工大学</w:t>
      </w:r>
    </w:p>
    <w:p>
      <w:pPr>
        <w:ind w:firstLine="480"/>
      </w:pPr>
      <w:r>
        <w:rPr>
          <w:rFonts w:hint="eastAsia"/>
        </w:rPr>
        <w:t>　　　　　中铁上海局集团第六工程有限公司</w:t>
      </w:r>
    </w:p>
    <w:p>
      <w:pPr>
        <w:ind w:firstLine="480"/>
      </w:pPr>
      <w:r>
        <w:rPr>
          <w:rFonts w:hint="eastAsia"/>
        </w:rPr>
        <w:t>　　　　　云南建安昆宁工程设计咨询有限公司</w:t>
      </w:r>
    </w:p>
    <w:p>
      <w:pPr>
        <w:ind w:firstLine="480"/>
      </w:pPr>
      <w:r>
        <w:rPr>
          <w:rFonts w:hint="eastAsia"/>
        </w:rPr>
        <w:t>　　　　　云南城投众和建设集团有限公司</w:t>
      </w:r>
    </w:p>
    <w:p>
      <w:pPr>
        <w:ind w:firstLine="480"/>
      </w:pPr>
      <w:r>
        <w:rPr>
          <w:rFonts w:hint="eastAsia"/>
        </w:rPr>
        <w:t>主要起草人：</w:t>
      </w:r>
    </w:p>
    <w:p>
      <w:pPr>
        <w:ind w:firstLine="480"/>
      </w:pPr>
      <w:r>
        <w:rPr>
          <w:rFonts w:hint="eastAsia"/>
        </w:rPr>
        <w:t>主要审查人：</w:t>
      </w:r>
    </w:p>
    <w:p>
      <w:pPr>
        <w:ind w:firstLine="0" w:firstLineChars="0"/>
        <w:sectPr>
          <w:footerReference r:id="rId11" w:type="default"/>
          <w:pgSz w:w="11906" w:h="16838"/>
          <w:pgMar w:top="1440" w:right="1800" w:bottom="1440" w:left="1800" w:header="851" w:footer="992" w:gutter="0"/>
          <w:cols w:space="425" w:num="1"/>
          <w:docGrid w:type="lines" w:linePitch="312" w:charSpace="0"/>
        </w:sectPr>
      </w:pPr>
    </w:p>
    <w:p>
      <w:pPr>
        <w:pStyle w:val="32"/>
      </w:pPr>
      <w:bookmarkStart w:id="9" w:name="_Toc136506052"/>
      <w:bookmarkStart w:id="10" w:name="_Toc136504990"/>
      <w:bookmarkStart w:id="11" w:name="_Toc134777411"/>
      <w:r>
        <w:rPr>
          <w:rFonts w:hint="eastAsia"/>
        </w:rPr>
        <w:t>目 次</w:t>
      </w:r>
      <w:bookmarkEnd w:id="9"/>
      <w:bookmarkEnd w:id="10"/>
      <w:bookmarkEnd w:id="11"/>
    </w:p>
    <w:p>
      <w:pPr>
        <w:pStyle w:val="17"/>
        <w:rPr>
          <w:rFonts w:asciiTheme="minorHAnsi" w:hAnsiTheme="minorHAnsi" w:eastAsiaTheme="minorEastAsia"/>
          <w:sz w:val="21"/>
        </w:rPr>
      </w:pPr>
      <w:r>
        <w:fldChar w:fldCharType="begin"/>
      </w:r>
      <w:r>
        <w:instrText xml:space="preserve"> TOC \o "1-2" \h \z \u </w:instrText>
      </w:r>
      <w:r>
        <w:fldChar w:fldCharType="separate"/>
      </w:r>
      <w:r>
        <w:fldChar w:fldCharType="begin"/>
      </w:r>
      <w:r>
        <w:instrText xml:space="preserve"> HYPERLINK \l "_Toc136506053" </w:instrText>
      </w:r>
      <w:r>
        <w:fldChar w:fldCharType="separate"/>
      </w:r>
      <w:r>
        <w:rPr>
          <w:rStyle w:val="26"/>
        </w:rPr>
        <w:t>1 总　则</w:t>
      </w:r>
      <w:r>
        <w:tab/>
      </w:r>
      <w:r>
        <w:fldChar w:fldCharType="begin"/>
      </w:r>
      <w:r>
        <w:instrText xml:space="preserve"> PAGEREF _Toc136506053 \h </w:instrText>
      </w:r>
      <w:r>
        <w:fldChar w:fldCharType="separate"/>
      </w:r>
      <w:r>
        <w:t>1</w:t>
      </w:r>
      <w:r>
        <w:fldChar w:fldCharType="end"/>
      </w:r>
      <w:r>
        <w:fldChar w:fldCharType="end"/>
      </w:r>
    </w:p>
    <w:p>
      <w:pPr>
        <w:pStyle w:val="17"/>
        <w:rPr>
          <w:rFonts w:asciiTheme="minorHAnsi" w:hAnsiTheme="minorHAnsi" w:eastAsiaTheme="minorEastAsia"/>
          <w:sz w:val="21"/>
        </w:rPr>
      </w:pPr>
      <w:r>
        <w:fldChar w:fldCharType="begin"/>
      </w:r>
      <w:r>
        <w:instrText xml:space="preserve"> HYPERLINK \l "_Toc136506054" </w:instrText>
      </w:r>
      <w:r>
        <w:fldChar w:fldCharType="separate"/>
      </w:r>
      <w:r>
        <w:rPr>
          <w:rStyle w:val="26"/>
        </w:rPr>
        <w:t>2 术</w:t>
      </w:r>
      <w:r>
        <w:rPr>
          <w:rStyle w:val="26"/>
          <w:rFonts w:hint="eastAsia"/>
          <w:lang w:val="en-US" w:eastAsia="zh-CN"/>
        </w:rPr>
        <w:t xml:space="preserve">  </w:t>
      </w:r>
      <w:r>
        <w:rPr>
          <w:rStyle w:val="26"/>
        </w:rPr>
        <w:t>语</w:t>
      </w:r>
      <w:r>
        <w:tab/>
      </w:r>
      <w:r>
        <w:fldChar w:fldCharType="begin"/>
      </w:r>
      <w:r>
        <w:instrText xml:space="preserve"> PAGEREF _Toc136506054 \h </w:instrText>
      </w:r>
      <w:r>
        <w:fldChar w:fldCharType="separate"/>
      </w:r>
      <w:r>
        <w:t>2</w:t>
      </w:r>
      <w:r>
        <w:fldChar w:fldCharType="end"/>
      </w:r>
      <w:r>
        <w:fldChar w:fldCharType="end"/>
      </w:r>
    </w:p>
    <w:p>
      <w:pPr>
        <w:pStyle w:val="17"/>
        <w:rPr>
          <w:rFonts w:asciiTheme="minorHAnsi" w:hAnsiTheme="minorHAnsi" w:eastAsiaTheme="minorEastAsia"/>
          <w:sz w:val="21"/>
        </w:rPr>
      </w:pPr>
      <w:r>
        <w:fldChar w:fldCharType="begin"/>
      </w:r>
      <w:r>
        <w:instrText xml:space="preserve"> HYPERLINK \l "_Toc136506055" </w:instrText>
      </w:r>
      <w:r>
        <w:fldChar w:fldCharType="separate"/>
      </w:r>
      <w:r>
        <w:rPr>
          <w:rStyle w:val="26"/>
        </w:rPr>
        <w:t>3 基本规定</w:t>
      </w:r>
      <w:r>
        <w:tab/>
      </w:r>
      <w:r>
        <w:fldChar w:fldCharType="begin"/>
      </w:r>
      <w:r>
        <w:instrText xml:space="preserve"> PAGEREF _Toc136506055 \h </w:instrText>
      </w:r>
      <w:r>
        <w:fldChar w:fldCharType="separate"/>
      </w:r>
      <w:r>
        <w:t>6</w:t>
      </w:r>
      <w:r>
        <w:fldChar w:fldCharType="end"/>
      </w:r>
      <w:r>
        <w:fldChar w:fldCharType="end"/>
      </w:r>
    </w:p>
    <w:p>
      <w:pPr>
        <w:pStyle w:val="17"/>
        <w:rPr>
          <w:rFonts w:asciiTheme="minorHAnsi" w:hAnsiTheme="minorHAnsi" w:eastAsiaTheme="minorEastAsia"/>
          <w:sz w:val="21"/>
        </w:rPr>
      </w:pPr>
      <w:r>
        <w:fldChar w:fldCharType="begin"/>
      </w:r>
      <w:r>
        <w:instrText xml:space="preserve"> HYPERLINK \l "_Toc136506056" </w:instrText>
      </w:r>
      <w:r>
        <w:fldChar w:fldCharType="separate"/>
      </w:r>
      <w:r>
        <w:rPr>
          <w:rStyle w:val="26"/>
        </w:rPr>
        <w:t>4 系统设计</w:t>
      </w:r>
      <w:r>
        <w:tab/>
      </w:r>
      <w:r>
        <w:fldChar w:fldCharType="begin"/>
      </w:r>
      <w:r>
        <w:instrText xml:space="preserve"> PAGEREF _Toc136506056 \h </w:instrText>
      </w:r>
      <w:r>
        <w:fldChar w:fldCharType="separate"/>
      </w:r>
      <w:r>
        <w:t>7</w:t>
      </w:r>
      <w:r>
        <w:fldChar w:fldCharType="end"/>
      </w:r>
      <w:r>
        <w:fldChar w:fldCharType="end"/>
      </w:r>
    </w:p>
    <w:p>
      <w:pPr>
        <w:pStyle w:val="20"/>
        <w:rPr>
          <w:rFonts w:asciiTheme="minorHAnsi" w:hAnsiTheme="minorHAnsi" w:eastAsiaTheme="minorEastAsia"/>
          <w:sz w:val="21"/>
        </w:rPr>
      </w:pPr>
      <w:r>
        <w:fldChar w:fldCharType="begin"/>
      </w:r>
      <w:r>
        <w:instrText xml:space="preserve"> HYPERLINK \l "_Toc136506057" </w:instrText>
      </w:r>
      <w:r>
        <w:fldChar w:fldCharType="separate"/>
      </w:r>
      <w:r>
        <w:rPr>
          <w:rStyle w:val="26"/>
        </w:rPr>
        <w:t>4.1 一般规定</w:t>
      </w:r>
      <w:r>
        <w:tab/>
      </w:r>
      <w:r>
        <w:fldChar w:fldCharType="begin"/>
      </w:r>
      <w:r>
        <w:instrText xml:space="preserve"> PAGEREF _Toc136506057 \h </w:instrText>
      </w:r>
      <w:r>
        <w:fldChar w:fldCharType="separate"/>
      </w:r>
      <w:r>
        <w:t>7</w:t>
      </w:r>
      <w:r>
        <w:fldChar w:fldCharType="end"/>
      </w:r>
      <w:r>
        <w:fldChar w:fldCharType="end"/>
      </w:r>
    </w:p>
    <w:p>
      <w:pPr>
        <w:pStyle w:val="20"/>
        <w:rPr>
          <w:rFonts w:asciiTheme="minorHAnsi" w:hAnsiTheme="minorHAnsi" w:eastAsiaTheme="minorEastAsia"/>
          <w:sz w:val="21"/>
        </w:rPr>
      </w:pPr>
      <w:r>
        <w:fldChar w:fldCharType="begin"/>
      </w:r>
      <w:r>
        <w:instrText xml:space="preserve"> HYPERLINK \l "_Toc136506058" </w:instrText>
      </w:r>
      <w:r>
        <w:fldChar w:fldCharType="separate"/>
      </w:r>
      <w:r>
        <w:rPr>
          <w:rStyle w:val="26"/>
        </w:rPr>
        <w:t>4.2 监测内容及测点布设</w:t>
      </w:r>
      <w:r>
        <w:tab/>
      </w:r>
      <w:r>
        <w:fldChar w:fldCharType="begin"/>
      </w:r>
      <w:r>
        <w:instrText xml:space="preserve"> PAGEREF _Toc136506058 \h </w:instrText>
      </w:r>
      <w:r>
        <w:fldChar w:fldCharType="separate"/>
      </w:r>
      <w:r>
        <w:t>7</w:t>
      </w:r>
      <w:r>
        <w:fldChar w:fldCharType="end"/>
      </w:r>
      <w:r>
        <w:fldChar w:fldCharType="end"/>
      </w:r>
    </w:p>
    <w:p>
      <w:pPr>
        <w:pStyle w:val="20"/>
        <w:rPr>
          <w:rFonts w:asciiTheme="minorHAnsi" w:hAnsiTheme="minorHAnsi" w:eastAsiaTheme="minorEastAsia"/>
          <w:sz w:val="21"/>
        </w:rPr>
      </w:pPr>
      <w:r>
        <w:fldChar w:fldCharType="begin"/>
      </w:r>
      <w:r>
        <w:instrText xml:space="preserve"> HYPERLINK \l "_Toc136506059" </w:instrText>
      </w:r>
      <w:r>
        <w:fldChar w:fldCharType="separate"/>
      </w:r>
      <w:r>
        <w:rPr>
          <w:rStyle w:val="26"/>
        </w:rPr>
        <w:t>4.3 监测数据的采集、分析、评估和应用</w:t>
      </w:r>
      <w:r>
        <w:tab/>
      </w:r>
      <w:r>
        <w:fldChar w:fldCharType="begin"/>
      </w:r>
      <w:r>
        <w:instrText xml:space="preserve"> PAGEREF _Toc136506059 \h </w:instrText>
      </w:r>
      <w:r>
        <w:fldChar w:fldCharType="separate"/>
      </w:r>
      <w:r>
        <w:t>22</w:t>
      </w:r>
      <w:r>
        <w:fldChar w:fldCharType="end"/>
      </w:r>
      <w:r>
        <w:fldChar w:fldCharType="end"/>
      </w:r>
    </w:p>
    <w:p>
      <w:pPr>
        <w:pStyle w:val="20"/>
        <w:rPr>
          <w:rFonts w:asciiTheme="minorHAnsi" w:hAnsiTheme="minorHAnsi" w:eastAsiaTheme="minorEastAsia"/>
          <w:sz w:val="21"/>
        </w:rPr>
      </w:pPr>
      <w:r>
        <w:fldChar w:fldCharType="begin"/>
      </w:r>
      <w:r>
        <w:instrText xml:space="preserve"> HYPERLINK \l "_Toc136506060" </w:instrText>
      </w:r>
      <w:r>
        <w:fldChar w:fldCharType="separate"/>
      </w:r>
      <w:r>
        <w:rPr>
          <w:rStyle w:val="26"/>
        </w:rPr>
        <w:t>4.4 硬件系统设计</w:t>
      </w:r>
      <w:r>
        <w:tab/>
      </w:r>
      <w:r>
        <w:fldChar w:fldCharType="begin"/>
      </w:r>
      <w:r>
        <w:instrText xml:space="preserve"> PAGEREF _Toc136506060 \h </w:instrText>
      </w:r>
      <w:r>
        <w:fldChar w:fldCharType="separate"/>
      </w:r>
      <w:r>
        <w:t>39</w:t>
      </w:r>
      <w:r>
        <w:fldChar w:fldCharType="end"/>
      </w:r>
      <w:r>
        <w:fldChar w:fldCharType="end"/>
      </w:r>
    </w:p>
    <w:p>
      <w:pPr>
        <w:pStyle w:val="20"/>
        <w:rPr>
          <w:rFonts w:asciiTheme="minorHAnsi" w:hAnsiTheme="minorHAnsi" w:eastAsiaTheme="minorEastAsia"/>
          <w:sz w:val="21"/>
        </w:rPr>
      </w:pPr>
      <w:r>
        <w:fldChar w:fldCharType="begin"/>
      </w:r>
      <w:r>
        <w:instrText xml:space="preserve"> HYPERLINK \l "_Toc136506061" </w:instrText>
      </w:r>
      <w:r>
        <w:fldChar w:fldCharType="separate"/>
      </w:r>
      <w:r>
        <w:rPr>
          <w:rStyle w:val="26"/>
        </w:rPr>
        <w:t>4.5 软件系统设计</w:t>
      </w:r>
      <w:r>
        <w:tab/>
      </w:r>
      <w:r>
        <w:fldChar w:fldCharType="begin"/>
      </w:r>
      <w:r>
        <w:instrText xml:space="preserve"> PAGEREF _Toc136506061 \h </w:instrText>
      </w:r>
      <w:r>
        <w:fldChar w:fldCharType="separate"/>
      </w:r>
      <w:r>
        <w:t>51</w:t>
      </w:r>
      <w:r>
        <w:fldChar w:fldCharType="end"/>
      </w:r>
      <w:r>
        <w:fldChar w:fldCharType="end"/>
      </w:r>
    </w:p>
    <w:p>
      <w:pPr>
        <w:pStyle w:val="20"/>
        <w:rPr>
          <w:rFonts w:asciiTheme="minorHAnsi" w:hAnsiTheme="minorHAnsi" w:eastAsiaTheme="minorEastAsia"/>
          <w:sz w:val="21"/>
        </w:rPr>
      </w:pPr>
      <w:r>
        <w:fldChar w:fldCharType="begin"/>
      </w:r>
      <w:r>
        <w:instrText xml:space="preserve"> HYPERLINK \l "_Toc136506062" </w:instrText>
      </w:r>
      <w:r>
        <w:fldChar w:fldCharType="separate"/>
      </w:r>
      <w:r>
        <w:rPr>
          <w:rStyle w:val="26"/>
        </w:rPr>
        <w:t>4.6 专线监测设计</w:t>
      </w:r>
      <w:r>
        <w:tab/>
      </w:r>
      <w:r>
        <w:fldChar w:fldCharType="begin"/>
      </w:r>
      <w:r>
        <w:instrText xml:space="preserve"> PAGEREF _Toc136506062 \h </w:instrText>
      </w:r>
      <w:r>
        <w:fldChar w:fldCharType="separate"/>
      </w:r>
      <w:r>
        <w:t>54</w:t>
      </w:r>
      <w:r>
        <w:fldChar w:fldCharType="end"/>
      </w:r>
      <w:r>
        <w:fldChar w:fldCharType="end"/>
      </w:r>
    </w:p>
    <w:p>
      <w:pPr>
        <w:pStyle w:val="20"/>
        <w:rPr>
          <w:rFonts w:asciiTheme="minorHAnsi" w:hAnsiTheme="minorHAnsi" w:eastAsiaTheme="minorEastAsia"/>
          <w:sz w:val="21"/>
        </w:rPr>
      </w:pPr>
      <w:r>
        <w:fldChar w:fldCharType="begin"/>
      </w:r>
      <w:r>
        <w:instrText xml:space="preserve"> HYPERLINK \l "_Toc136506063" </w:instrText>
      </w:r>
      <w:r>
        <w:fldChar w:fldCharType="separate"/>
      </w:r>
      <w:r>
        <w:rPr>
          <w:rStyle w:val="26"/>
        </w:rPr>
        <w:t>4.7 施工期监测及其他数据源的纳入方案</w:t>
      </w:r>
      <w:r>
        <w:tab/>
      </w:r>
      <w:r>
        <w:fldChar w:fldCharType="begin"/>
      </w:r>
      <w:r>
        <w:instrText xml:space="preserve"> PAGEREF _Toc136506063 \h </w:instrText>
      </w:r>
      <w:r>
        <w:fldChar w:fldCharType="separate"/>
      </w:r>
      <w:r>
        <w:t>55</w:t>
      </w:r>
      <w:r>
        <w:fldChar w:fldCharType="end"/>
      </w:r>
      <w:r>
        <w:fldChar w:fldCharType="end"/>
      </w:r>
    </w:p>
    <w:p>
      <w:pPr>
        <w:pStyle w:val="20"/>
        <w:rPr>
          <w:rFonts w:asciiTheme="minorHAnsi" w:hAnsiTheme="minorHAnsi" w:eastAsiaTheme="minorEastAsia"/>
          <w:sz w:val="21"/>
        </w:rPr>
      </w:pPr>
      <w:r>
        <w:fldChar w:fldCharType="begin"/>
      </w:r>
      <w:r>
        <w:instrText xml:space="preserve"> HYPERLINK \l "_Toc136506064" </w:instrText>
      </w:r>
      <w:r>
        <w:fldChar w:fldCharType="separate"/>
      </w:r>
      <w:r>
        <w:rPr>
          <w:rStyle w:val="26"/>
        </w:rPr>
        <w:t>4.8 系统的物联网接入方案</w:t>
      </w:r>
      <w:r>
        <w:tab/>
      </w:r>
      <w:r>
        <w:fldChar w:fldCharType="begin"/>
      </w:r>
      <w:r>
        <w:instrText xml:space="preserve"> PAGEREF _Toc136506064 \h </w:instrText>
      </w:r>
      <w:r>
        <w:fldChar w:fldCharType="separate"/>
      </w:r>
      <w:r>
        <w:t>56</w:t>
      </w:r>
      <w:r>
        <w:fldChar w:fldCharType="end"/>
      </w:r>
      <w:r>
        <w:fldChar w:fldCharType="end"/>
      </w:r>
    </w:p>
    <w:p>
      <w:pPr>
        <w:pStyle w:val="17"/>
        <w:rPr>
          <w:rFonts w:asciiTheme="minorHAnsi" w:hAnsiTheme="minorHAnsi" w:eastAsiaTheme="minorEastAsia"/>
          <w:sz w:val="21"/>
        </w:rPr>
      </w:pPr>
      <w:r>
        <w:fldChar w:fldCharType="begin"/>
      </w:r>
      <w:r>
        <w:instrText xml:space="preserve"> HYPERLINK \l "_Toc136506065" </w:instrText>
      </w:r>
      <w:r>
        <w:fldChar w:fldCharType="separate"/>
      </w:r>
      <w:r>
        <w:rPr>
          <w:rStyle w:val="26"/>
        </w:rPr>
        <w:t>5 系统实施</w:t>
      </w:r>
      <w:r>
        <w:tab/>
      </w:r>
      <w:r>
        <w:fldChar w:fldCharType="begin"/>
      </w:r>
      <w:r>
        <w:instrText xml:space="preserve"> PAGEREF _Toc136506065 \h </w:instrText>
      </w:r>
      <w:r>
        <w:fldChar w:fldCharType="separate"/>
      </w:r>
      <w:r>
        <w:t>57</w:t>
      </w:r>
      <w:r>
        <w:fldChar w:fldCharType="end"/>
      </w:r>
      <w:r>
        <w:fldChar w:fldCharType="end"/>
      </w:r>
    </w:p>
    <w:p>
      <w:pPr>
        <w:pStyle w:val="20"/>
        <w:rPr>
          <w:rFonts w:asciiTheme="minorHAnsi" w:hAnsiTheme="minorHAnsi" w:eastAsiaTheme="minorEastAsia"/>
          <w:sz w:val="21"/>
        </w:rPr>
      </w:pPr>
      <w:r>
        <w:fldChar w:fldCharType="begin"/>
      </w:r>
      <w:r>
        <w:instrText xml:space="preserve"> HYPERLINK \l "_Toc136506066" </w:instrText>
      </w:r>
      <w:r>
        <w:fldChar w:fldCharType="separate"/>
      </w:r>
      <w:r>
        <w:rPr>
          <w:rStyle w:val="26"/>
        </w:rPr>
        <w:t>5.1 一般规定</w:t>
      </w:r>
      <w:r>
        <w:tab/>
      </w:r>
      <w:r>
        <w:fldChar w:fldCharType="begin"/>
      </w:r>
      <w:r>
        <w:instrText xml:space="preserve"> PAGEREF _Toc136506066 \h </w:instrText>
      </w:r>
      <w:r>
        <w:fldChar w:fldCharType="separate"/>
      </w:r>
      <w:r>
        <w:t>57</w:t>
      </w:r>
      <w:r>
        <w:fldChar w:fldCharType="end"/>
      </w:r>
      <w:r>
        <w:fldChar w:fldCharType="end"/>
      </w:r>
    </w:p>
    <w:p>
      <w:pPr>
        <w:pStyle w:val="20"/>
        <w:rPr>
          <w:rFonts w:asciiTheme="minorHAnsi" w:hAnsiTheme="minorHAnsi" w:eastAsiaTheme="minorEastAsia"/>
          <w:sz w:val="21"/>
        </w:rPr>
      </w:pPr>
      <w:r>
        <w:fldChar w:fldCharType="begin"/>
      </w:r>
      <w:r>
        <w:instrText xml:space="preserve"> HYPERLINK \l "_Toc136506067" </w:instrText>
      </w:r>
      <w:r>
        <w:fldChar w:fldCharType="separate"/>
      </w:r>
      <w:r>
        <w:rPr>
          <w:rStyle w:val="26"/>
        </w:rPr>
        <w:t>5.2 系统施工组织</w:t>
      </w:r>
      <w:r>
        <w:tab/>
      </w:r>
      <w:r>
        <w:fldChar w:fldCharType="begin"/>
      </w:r>
      <w:r>
        <w:instrText xml:space="preserve"> PAGEREF _Toc136506067 \h </w:instrText>
      </w:r>
      <w:r>
        <w:fldChar w:fldCharType="separate"/>
      </w:r>
      <w:r>
        <w:t>60</w:t>
      </w:r>
      <w:r>
        <w:fldChar w:fldCharType="end"/>
      </w:r>
      <w:r>
        <w:fldChar w:fldCharType="end"/>
      </w:r>
    </w:p>
    <w:p>
      <w:pPr>
        <w:pStyle w:val="20"/>
        <w:rPr>
          <w:rStyle w:val="26"/>
          <w:rFonts w:hint="eastAsia"/>
          <w:lang w:eastAsia="zh-CN"/>
        </w:rPr>
      </w:pPr>
      <w:r>
        <w:fldChar w:fldCharType="begin"/>
      </w:r>
      <w:r>
        <w:instrText xml:space="preserve"> HYPERLINK \l "_Toc136506068" </w:instrText>
      </w:r>
      <w:r>
        <w:fldChar w:fldCharType="separate"/>
      </w:r>
      <w:r>
        <w:rPr>
          <w:rStyle w:val="26"/>
        </w:rPr>
        <w:t xml:space="preserve">5.3 </w:t>
      </w:r>
      <w:r>
        <w:rPr>
          <w:rStyle w:val="26"/>
          <w:rFonts w:hint="eastAsia"/>
          <w:lang w:eastAsia="zh-CN"/>
        </w:rPr>
        <w:t>系统试运行</w:t>
      </w:r>
    </w:p>
    <w:p>
      <w:pPr>
        <w:pStyle w:val="20"/>
        <w:rPr>
          <w:rFonts w:asciiTheme="minorHAnsi" w:hAnsiTheme="minorHAnsi" w:eastAsiaTheme="minorEastAsia"/>
          <w:sz w:val="21"/>
        </w:rPr>
      </w:pPr>
      <w:r>
        <w:rPr>
          <w:rStyle w:val="26"/>
          <w:rFonts w:hint="eastAsia"/>
          <w:lang w:val="en-US" w:eastAsia="zh-CN"/>
        </w:rPr>
        <w:t>5.4</w:t>
      </w:r>
      <w:r>
        <w:rPr>
          <w:rStyle w:val="26"/>
        </w:rPr>
        <w:t>项目质量管理</w:t>
      </w:r>
      <w:r>
        <w:tab/>
      </w:r>
      <w:r>
        <w:fldChar w:fldCharType="begin"/>
      </w:r>
      <w:r>
        <w:instrText xml:space="preserve"> PAGEREF _Toc136506068 \h </w:instrText>
      </w:r>
      <w:r>
        <w:fldChar w:fldCharType="separate"/>
      </w:r>
      <w:r>
        <w:t>67</w:t>
      </w:r>
      <w:r>
        <w:fldChar w:fldCharType="end"/>
      </w:r>
      <w:r>
        <w:fldChar w:fldCharType="end"/>
      </w:r>
    </w:p>
    <w:p>
      <w:pPr>
        <w:pStyle w:val="17"/>
        <w:rPr>
          <w:rFonts w:asciiTheme="minorHAnsi" w:hAnsiTheme="minorHAnsi" w:eastAsiaTheme="minorEastAsia"/>
          <w:sz w:val="21"/>
        </w:rPr>
      </w:pPr>
      <w:r>
        <w:fldChar w:fldCharType="begin"/>
      </w:r>
      <w:r>
        <w:instrText xml:space="preserve"> HYPERLINK \l "_Toc136506069" </w:instrText>
      </w:r>
      <w:r>
        <w:fldChar w:fldCharType="separate"/>
      </w:r>
      <w:r>
        <w:rPr>
          <w:rStyle w:val="26"/>
        </w:rPr>
        <w:t>6 系统管理及维护</w:t>
      </w:r>
      <w:r>
        <w:tab/>
      </w:r>
      <w:r>
        <w:fldChar w:fldCharType="begin"/>
      </w:r>
      <w:r>
        <w:instrText xml:space="preserve"> PAGEREF _Toc136506069 \h </w:instrText>
      </w:r>
      <w:r>
        <w:fldChar w:fldCharType="separate"/>
      </w:r>
      <w:r>
        <w:t>75</w:t>
      </w:r>
      <w:r>
        <w:fldChar w:fldCharType="end"/>
      </w:r>
      <w:r>
        <w:fldChar w:fldCharType="end"/>
      </w:r>
    </w:p>
    <w:p>
      <w:pPr>
        <w:pStyle w:val="20"/>
        <w:rPr>
          <w:rFonts w:asciiTheme="minorHAnsi" w:hAnsiTheme="minorHAnsi" w:eastAsiaTheme="minorEastAsia"/>
          <w:sz w:val="21"/>
        </w:rPr>
      </w:pPr>
      <w:r>
        <w:fldChar w:fldCharType="begin"/>
      </w:r>
      <w:r>
        <w:instrText xml:space="preserve"> HYPERLINK \l "_Toc136506070" </w:instrText>
      </w:r>
      <w:r>
        <w:fldChar w:fldCharType="separate"/>
      </w:r>
      <w:r>
        <w:rPr>
          <w:rStyle w:val="26"/>
        </w:rPr>
        <w:t>6.1 一般规定</w:t>
      </w:r>
      <w:r>
        <w:tab/>
      </w:r>
      <w:r>
        <w:fldChar w:fldCharType="begin"/>
      </w:r>
      <w:r>
        <w:instrText xml:space="preserve"> PAGEREF _Toc136506070 \h </w:instrText>
      </w:r>
      <w:r>
        <w:fldChar w:fldCharType="separate"/>
      </w:r>
      <w:r>
        <w:t>75</w:t>
      </w:r>
      <w:r>
        <w:fldChar w:fldCharType="end"/>
      </w:r>
      <w:r>
        <w:fldChar w:fldCharType="end"/>
      </w:r>
    </w:p>
    <w:p>
      <w:pPr>
        <w:pStyle w:val="20"/>
        <w:rPr>
          <w:rFonts w:asciiTheme="minorHAnsi" w:hAnsiTheme="minorHAnsi" w:eastAsiaTheme="minorEastAsia"/>
          <w:sz w:val="21"/>
        </w:rPr>
      </w:pPr>
      <w:r>
        <w:fldChar w:fldCharType="begin"/>
      </w:r>
      <w:r>
        <w:instrText xml:space="preserve"> HYPERLINK \l "_Toc136506071" </w:instrText>
      </w:r>
      <w:r>
        <w:fldChar w:fldCharType="separate"/>
      </w:r>
      <w:r>
        <w:rPr>
          <w:rStyle w:val="26"/>
        </w:rPr>
        <w:t>6.2 日常维护</w:t>
      </w:r>
      <w:r>
        <w:tab/>
      </w:r>
      <w:r>
        <w:fldChar w:fldCharType="begin"/>
      </w:r>
      <w:r>
        <w:instrText xml:space="preserve"> PAGEREF _Toc136506071 \h </w:instrText>
      </w:r>
      <w:r>
        <w:fldChar w:fldCharType="separate"/>
      </w:r>
      <w:r>
        <w:t>75</w:t>
      </w:r>
      <w:r>
        <w:fldChar w:fldCharType="end"/>
      </w:r>
      <w:r>
        <w:fldChar w:fldCharType="end"/>
      </w:r>
    </w:p>
    <w:p>
      <w:pPr>
        <w:pStyle w:val="20"/>
        <w:rPr>
          <w:rFonts w:asciiTheme="minorHAnsi" w:hAnsiTheme="minorHAnsi" w:eastAsiaTheme="minorEastAsia"/>
          <w:sz w:val="21"/>
        </w:rPr>
      </w:pPr>
      <w:r>
        <w:fldChar w:fldCharType="begin"/>
      </w:r>
      <w:r>
        <w:instrText xml:space="preserve"> HYPERLINK \l "_Toc136506073" </w:instrText>
      </w:r>
      <w:r>
        <w:fldChar w:fldCharType="separate"/>
      </w:r>
      <w:r>
        <w:rPr>
          <w:rStyle w:val="26"/>
        </w:rPr>
        <w:t>6.3 专项维护</w:t>
      </w:r>
      <w:r>
        <w:tab/>
      </w:r>
      <w:r>
        <w:fldChar w:fldCharType="begin"/>
      </w:r>
      <w:r>
        <w:instrText xml:space="preserve"> PAGEREF _Toc136506073 \h </w:instrText>
      </w:r>
      <w:r>
        <w:fldChar w:fldCharType="separate"/>
      </w:r>
      <w:r>
        <w:t>76</w:t>
      </w:r>
      <w:r>
        <w:fldChar w:fldCharType="end"/>
      </w:r>
      <w:r>
        <w:fldChar w:fldCharType="end"/>
      </w:r>
    </w:p>
    <w:p>
      <w:pPr>
        <w:pStyle w:val="20"/>
        <w:rPr>
          <w:rFonts w:asciiTheme="minorHAnsi" w:hAnsiTheme="minorHAnsi" w:eastAsiaTheme="minorEastAsia"/>
          <w:sz w:val="21"/>
        </w:rPr>
      </w:pPr>
      <w:r>
        <w:fldChar w:fldCharType="begin"/>
      </w:r>
      <w:r>
        <w:instrText xml:space="preserve"> HYPERLINK \l "_Toc136506074" </w:instrText>
      </w:r>
      <w:r>
        <w:fldChar w:fldCharType="separate"/>
      </w:r>
      <w:r>
        <w:rPr>
          <w:rStyle w:val="26"/>
        </w:rPr>
        <w:t>6.4 异常处置</w:t>
      </w:r>
      <w:r>
        <w:tab/>
      </w:r>
      <w:r>
        <w:fldChar w:fldCharType="begin"/>
      </w:r>
      <w:r>
        <w:instrText xml:space="preserve"> PAGEREF _Toc136506074 \h </w:instrText>
      </w:r>
      <w:r>
        <w:fldChar w:fldCharType="separate"/>
      </w:r>
      <w:r>
        <w:t>77</w:t>
      </w:r>
      <w:r>
        <w:fldChar w:fldCharType="end"/>
      </w:r>
      <w:r>
        <w:fldChar w:fldCharType="end"/>
      </w:r>
    </w:p>
    <w:p>
      <w:pPr>
        <w:pStyle w:val="17"/>
        <w:rPr>
          <w:rFonts w:asciiTheme="minorHAnsi" w:hAnsiTheme="minorHAnsi" w:eastAsiaTheme="minorEastAsia"/>
          <w:sz w:val="21"/>
        </w:rPr>
      </w:pPr>
      <w:r>
        <w:fldChar w:fldCharType="begin"/>
      </w:r>
      <w:r>
        <w:instrText xml:space="preserve"> HYPERLINK \l "_Toc136506075" </w:instrText>
      </w:r>
      <w:r>
        <w:fldChar w:fldCharType="separate"/>
      </w:r>
      <w:r>
        <w:rPr>
          <w:rStyle w:val="26"/>
        </w:rPr>
        <w:t>附录A（资料性）验收表格</w:t>
      </w:r>
      <w:r>
        <w:tab/>
      </w:r>
      <w:r>
        <w:fldChar w:fldCharType="begin"/>
      </w:r>
      <w:r>
        <w:instrText xml:space="preserve"> PAGEREF _Toc136506075 \h </w:instrText>
      </w:r>
      <w:r>
        <w:fldChar w:fldCharType="separate"/>
      </w:r>
      <w:r>
        <w:t>79</w:t>
      </w:r>
      <w:r>
        <w:fldChar w:fldCharType="end"/>
      </w:r>
      <w:r>
        <w:fldChar w:fldCharType="end"/>
      </w:r>
    </w:p>
    <w:p>
      <w:pPr>
        <w:pStyle w:val="17"/>
        <w:rPr>
          <w:rFonts w:asciiTheme="minorHAnsi" w:hAnsiTheme="minorHAnsi" w:eastAsiaTheme="minorEastAsia"/>
          <w:sz w:val="21"/>
        </w:rPr>
      </w:pPr>
      <w:r>
        <w:fldChar w:fldCharType="begin"/>
      </w:r>
      <w:r>
        <w:instrText xml:space="preserve"> HYPERLINK \l "_Toc136506076" </w:instrText>
      </w:r>
      <w:r>
        <w:fldChar w:fldCharType="separate"/>
      </w:r>
      <w:r>
        <w:rPr>
          <w:rStyle w:val="26"/>
        </w:rPr>
        <w:t>附录B（资料性）系统维护检查记录表</w:t>
      </w:r>
      <w:r>
        <w:tab/>
      </w:r>
      <w:r>
        <w:fldChar w:fldCharType="begin"/>
      </w:r>
      <w:r>
        <w:instrText xml:space="preserve"> PAGEREF _Toc136506076 \h </w:instrText>
      </w:r>
      <w:r>
        <w:fldChar w:fldCharType="separate"/>
      </w:r>
      <w:r>
        <w:t>83</w:t>
      </w:r>
      <w:r>
        <w:fldChar w:fldCharType="end"/>
      </w:r>
      <w:r>
        <w:fldChar w:fldCharType="end"/>
      </w:r>
    </w:p>
    <w:p>
      <w:pPr>
        <w:pStyle w:val="17"/>
        <w:rPr>
          <w:rFonts w:asciiTheme="minorHAnsi" w:hAnsiTheme="minorHAnsi" w:eastAsiaTheme="minorEastAsia"/>
          <w:sz w:val="21"/>
        </w:rPr>
      </w:pPr>
      <w:r>
        <w:fldChar w:fldCharType="begin"/>
      </w:r>
      <w:r>
        <w:instrText xml:space="preserve"> HYPERLINK \l "_Toc136506077" </w:instrText>
      </w:r>
      <w:r>
        <w:fldChar w:fldCharType="separate"/>
      </w:r>
      <w:r>
        <w:rPr>
          <w:rStyle w:val="26"/>
        </w:rPr>
        <w:t>本规程用词说明</w:t>
      </w:r>
      <w:r>
        <w:tab/>
      </w:r>
      <w:r>
        <w:fldChar w:fldCharType="begin"/>
      </w:r>
      <w:r>
        <w:instrText xml:space="preserve"> PAGEREF _Toc136506077 \h </w:instrText>
      </w:r>
      <w:r>
        <w:fldChar w:fldCharType="separate"/>
      </w:r>
      <w:r>
        <w:t>92</w:t>
      </w:r>
      <w:r>
        <w:fldChar w:fldCharType="end"/>
      </w:r>
      <w:r>
        <w:fldChar w:fldCharType="end"/>
      </w:r>
    </w:p>
    <w:p>
      <w:pPr>
        <w:pStyle w:val="17"/>
        <w:rPr>
          <w:rFonts w:asciiTheme="minorHAnsi" w:hAnsiTheme="minorHAnsi" w:eastAsiaTheme="minorEastAsia"/>
          <w:sz w:val="21"/>
        </w:rPr>
      </w:pPr>
      <w:r>
        <w:fldChar w:fldCharType="begin"/>
      </w:r>
      <w:r>
        <w:instrText xml:space="preserve"> HYPERLINK \l "_Toc136506078" </w:instrText>
      </w:r>
      <w:r>
        <w:fldChar w:fldCharType="separate"/>
      </w:r>
      <w:r>
        <w:rPr>
          <w:rStyle w:val="26"/>
        </w:rPr>
        <w:t>本规程引用标准名录</w:t>
      </w:r>
      <w:r>
        <w:tab/>
      </w:r>
      <w:r>
        <w:fldChar w:fldCharType="begin"/>
      </w:r>
      <w:r>
        <w:instrText xml:space="preserve"> PAGEREF _Toc136506078 \h </w:instrText>
      </w:r>
      <w:r>
        <w:fldChar w:fldCharType="separate"/>
      </w:r>
      <w:r>
        <w:t>93</w:t>
      </w:r>
      <w:r>
        <w:fldChar w:fldCharType="end"/>
      </w:r>
      <w:r>
        <w:fldChar w:fldCharType="end"/>
      </w:r>
    </w:p>
    <w:p>
      <w:pPr>
        <w:pStyle w:val="17"/>
        <w:rPr>
          <w:rFonts w:asciiTheme="minorHAnsi" w:hAnsiTheme="minorHAnsi" w:eastAsiaTheme="minorEastAsia"/>
          <w:sz w:val="21"/>
        </w:rPr>
      </w:pPr>
      <w:r>
        <w:fldChar w:fldCharType="begin"/>
      </w:r>
      <w:r>
        <w:instrText xml:space="preserve"> HYPERLINK \l "_Toc136506079" </w:instrText>
      </w:r>
      <w:r>
        <w:fldChar w:fldCharType="separate"/>
      </w:r>
      <w:r>
        <w:rPr>
          <w:rStyle w:val="26"/>
        </w:rPr>
        <w:t>附：条文说明</w:t>
      </w:r>
      <w:r>
        <w:tab/>
      </w:r>
      <w:r>
        <w:fldChar w:fldCharType="begin"/>
      </w:r>
      <w:r>
        <w:instrText xml:space="preserve"> PAGEREF _Toc136506079 \h </w:instrText>
      </w:r>
      <w:r>
        <w:fldChar w:fldCharType="separate"/>
      </w:r>
      <w:r>
        <w:t>94</w:t>
      </w:r>
      <w:r>
        <w:fldChar w:fldCharType="end"/>
      </w:r>
      <w:r>
        <w:fldChar w:fldCharType="end"/>
      </w:r>
    </w:p>
    <w:p>
      <w:pPr>
        <w:ind w:firstLine="0" w:firstLineChars="0"/>
      </w:pPr>
      <w:r>
        <w:fldChar w:fldCharType="end"/>
      </w:r>
    </w:p>
    <w:p>
      <w:r>
        <w:br w:type="page"/>
      </w:r>
    </w:p>
    <w:p>
      <w:pPr>
        <w:widowControl/>
        <w:spacing w:line="240" w:lineRule="auto"/>
        <w:ind w:firstLine="0" w:firstLineChars="0"/>
        <w:jc w:val="left"/>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default" w:ascii="Times New Roman" w:hAnsi="Times New Roman" w:eastAsia="宋体" w:cs="Times New Roman"/>
          <w:b/>
          <w:sz w:val="32"/>
          <w:szCs w:val="32"/>
        </w:rPr>
      </w:pPr>
      <w:bookmarkStart w:id="12" w:name="OLE_LINK6"/>
      <w:r>
        <w:rPr>
          <w:rFonts w:hint="default" w:ascii="Times New Roman" w:hAnsi="Times New Roman" w:eastAsia="宋体" w:cs="Times New Roman"/>
          <w:b/>
          <w:sz w:val="32"/>
          <w:szCs w:val="32"/>
        </w:rPr>
        <w:t>Contents</w:t>
      </w:r>
    </w:p>
    <w:p>
      <w:pPr>
        <w:pStyle w:val="17"/>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eastAsiaTheme="minorEastAsia"/>
          <w:b/>
          <w:bCs/>
          <w:sz w:val="21"/>
        </w:rPr>
      </w:pPr>
      <w:r>
        <w:rPr>
          <w:rFonts w:hint="default" w:ascii="Times New Roman" w:hAnsi="Times New Roman" w:cs="Times New Roman"/>
        </w:rPr>
        <w:fldChar w:fldCharType="begin"/>
      </w:r>
      <w:r>
        <w:rPr>
          <w:rFonts w:hint="default" w:ascii="Times New Roman" w:hAnsi="Times New Roman" w:cs="Times New Roman"/>
        </w:rPr>
        <w:instrText xml:space="preserve"> TOC \o "1-2" \h \z \u </w:instrText>
      </w:r>
      <w:r>
        <w:rPr>
          <w:rFonts w:hint="default" w:ascii="Times New Roman" w:hAnsi="Times New Roman" w:cs="Times New Roman"/>
        </w:rPr>
        <w:fldChar w:fldCharType="separate"/>
      </w: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"_Toc136506053" </w:instrText>
      </w:r>
      <w:r>
        <w:rPr>
          <w:rFonts w:hint="default" w:ascii="Times New Roman" w:hAnsi="Times New Roman" w:cs="Times New Roman"/>
          <w:b/>
          <w:bCs/>
        </w:rPr>
        <w:fldChar w:fldCharType="separate"/>
      </w:r>
      <w:r>
        <w:rPr>
          <w:rStyle w:val="26"/>
          <w:rFonts w:hint="default" w:ascii="Times New Roman" w:hAnsi="Times New Roman" w:cs="Times New Roman"/>
          <w:b/>
          <w:bCs/>
        </w:rPr>
        <w:t>1</w:t>
      </w:r>
      <w:r>
        <w:rPr>
          <w:rStyle w:val="26"/>
          <w:rFonts w:hint="eastAsia" w:ascii="Times New Roman" w:hAnsi="Times New Roman" w:cs="Times New Roman"/>
          <w:b/>
          <w:bCs/>
          <w:lang w:val="en-US" w:eastAsia="zh-CN"/>
        </w:rPr>
        <w:t xml:space="preserve">  </w:t>
      </w:r>
      <w:r>
        <w:rPr>
          <w:rStyle w:val="26"/>
          <w:rFonts w:hint="default" w:ascii="Times New Roman" w:hAnsi="Times New Roman" w:cs="Times New Roman"/>
          <w:b/>
          <w:bCs/>
          <w:lang w:eastAsia="zh-CN"/>
        </w:rPr>
        <w:t>General Provisions</w:t>
      </w:r>
      <w:r>
        <w:rPr>
          <w:rFonts w:hint="default" w:ascii="Times New Roman" w:hAnsi="Times New Roman" w:cs="Times New Roman"/>
          <w:b/>
          <w:bCs/>
        </w:rPr>
        <w:tab/>
      </w:r>
      <w:r>
        <w:rPr>
          <w:rFonts w:hint="default" w:ascii="Times New Roman" w:hAnsi="Times New Roman" w:cs="Times New Roman"/>
          <w:b/>
          <w:bCs/>
        </w:rPr>
        <w:fldChar w:fldCharType="begin"/>
      </w:r>
      <w:r>
        <w:rPr>
          <w:rFonts w:hint="default" w:ascii="Times New Roman" w:hAnsi="Times New Roman" w:cs="Times New Roman"/>
          <w:b/>
          <w:bCs/>
        </w:rPr>
        <w:instrText xml:space="preserve"> PAGEREF _Toc136506053 \h </w:instrText>
      </w:r>
      <w:r>
        <w:rPr>
          <w:rFonts w:hint="default" w:ascii="Times New Roman" w:hAnsi="Times New Roman" w:cs="Times New Roman"/>
          <w:b/>
          <w:bCs/>
        </w:rPr>
        <w:fldChar w:fldCharType="separate"/>
      </w:r>
      <w:r>
        <w:rPr>
          <w:rFonts w:hint="default" w:ascii="Times New Roman" w:hAnsi="Times New Roman" w:cs="Times New Roman"/>
          <w:b/>
          <w:bCs/>
        </w:rPr>
        <w:t>1</w:t>
      </w:r>
      <w:r>
        <w:rPr>
          <w:rFonts w:hint="default" w:ascii="Times New Roman" w:hAnsi="Times New Roman" w:cs="Times New Roman"/>
          <w:b/>
          <w:bCs/>
        </w:rPr>
        <w:fldChar w:fldCharType="end"/>
      </w:r>
      <w:r>
        <w:rPr>
          <w:rFonts w:hint="default" w:ascii="Times New Roman" w:hAnsi="Times New Roman" w:cs="Times New Roman"/>
          <w:b/>
          <w:bCs/>
        </w:rPr>
        <w:fldChar w:fldCharType="end"/>
      </w:r>
    </w:p>
    <w:p>
      <w:pPr>
        <w:pStyle w:val="17"/>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eastAsiaTheme="minorEastAsia"/>
          <w:b/>
          <w:bCs/>
          <w:sz w:val="21"/>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"_Toc136506054" </w:instrText>
      </w:r>
      <w:r>
        <w:rPr>
          <w:rFonts w:hint="default" w:ascii="Times New Roman" w:hAnsi="Times New Roman" w:cs="Times New Roman"/>
          <w:b/>
          <w:bCs/>
        </w:rPr>
        <w:fldChar w:fldCharType="separate"/>
      </w:r>
      <w:r>
        <w:rPr>
          <w:rStyle w:val="26"/>
          <w:rFonts w:hint="default" w:ascii="Times New Roman" w:hAnsi="Times New Roman" w:cs="Times New Roman"/>
          <w:b/>
          <w:bCs/>
        </w:rPr>
        <w:t xml:space="preserve">2 </w:t>
      </w:r>
      <w:r>
        <w:rPr>
          <w:rStyle w:val="26"/>
          <w:rFonts w:hint="eastAsia" w:ascii="Times New Roman" w:hAnsi="Times New Roman" w:cs="Times New Roman"/>
          <w:b/>
          <w:bCs/>
          <w:lang w:val="en-US" w:eastAsia="zh-CN"/>
        </w:rPr>
        <w:t xml:space="preserve"> </w:t>
      </w:r>
      <w:r>
        <w:rPr>
          <w:rStyle w:val="26"/>
          <w:rFonts w:hint="default" w:ascii="Times New Roman" w:hAnsi="Times New Roman" w:cs="Times New Roman"/>
          <w:b/>
          <w:bCs/>
          <w:lang w:eastAsia="zh-CN"/>
        </w:rPr>
        <w:t>Terms</w:t>
      </w:r>
      <w:r>
        <w:rPr>
          <w:rFonts w:hint="default" w:ascii="Times New Roman" w:hAnsi="Times New Roman" w:cs="Times New Roman"/>
          <w:b/>
          <w:bCs/>
        </w:rPr>
        <w:tab/>
      </w:r>
      <w:r>
        <w:rPr>
          <w:rFonts w:hint="default" w:ascii="Times New Roman" w:hAnsi="Times New Roman" w:cs="Times New Roman"/>
          <w:b/>
          <w:bCs/>
        </w:rPr>
        <w:fldChar w:fldCharType="begin"/>
      </w:r>
      <w:r>
        <w:rPr>
          <w:rFonts w:hint="default" w:ascii="Times New Roman" w:hAnsi="Times New Roman" w:cs="Times New Roman"/>
          <w:b/>
          <w:bCs/>
        </w:rPr>
        <w:instrText xml:space="preserve"> PAGEREF _Toc136506054 \h </w:instrText>
      </w:r>
      <w:r>
        <w:rPr>
          <w:rFonts w:hint="default" w:ascii="Times New Roman" w:hAnsi="Times New Roman" w:cs="Times New Roman"/>
          <w:b/>
          <w:bCs/>
        </w:rPr>
        <w:fldChar w:fldCharType="separate"/>
      </w:r>
      <w:r>
        <w:rPr>
          <w:rFonts w:hint="default" w:ascii="Times New Roman" w:hAnsi="Times New Roman" w:cs="Times New Roman"/>
          <w:b/>
          <w:bCs/>
        </w:rPr>
        <w:t>2</w:t>
      </w:r>
      <w:r>
        <w:rPr>
          <w:rFonts w:hint="default" w:ascii="Times New Roman" w:hAnsi="Times New Roman" w:cs="Times New Roman"/>
          <w:b/>
          <w:bCs/>
        </w:rPr>
        <w:fldChar w:fldCharType="end"/>
      </w:r>
      <w:r>
        <w:rPr>
          <w:rFonts w:hint="default" w:ascii="Times New Roman" w:hAnsi="Times New Roman" w:cs="Times New Roman"/>
          <w:b/>
          <w:bCs/>
        </w:rPr>
        <w:fldChar w:fldCharType="end"/>
      </w:r>
    </w:p>
    <w:p>
      <w:pPr>
        <w:pStyle w:val="17"/>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eastAsiaTheme="minorEastAsia"/>
          <w:b/>
          <w:bCs/>
          <w:sz w:val="21"/>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"_Toc136506055" </w:instrText>
      </w:r>
      <w:r>
        <w:rPr>
          <w:rFonts w:hint="default" w:ascii="Times New Roman" w:hAnsi="Times New Roman" w:cs="Times New Roman"/>
          <w:b/>
          <w:bCs/>
        </w:rPr>
        <w:fldChar w:fldCharType="separate"/>
      </w:r>
      <w:r>
        <w:rPr>
          <w:rStyle w:val="26"/>
          <w:rFonts w:hint="default" w:ascii="Times New Roman" w:hAnsi="Times New Roman" w:cs="Times New Roman"/>
          <w:b/>
          <w:bCs/>
        </w:rPr>
        <w:t xml:space="preserve">3 </w:t>
      </w:r>
      <w:r>
        <w:rPr>
          <w:rStyle w:val="26"/>
          <w:rFonts w:hint="eastAsia" w:ascii="Times New Roman" w:hAnsi="Times New Roman" w:cs="Times New Roman"/>
          <w:b/>
          <w:bCs/>
          <w:lang w:val="en-US" w:eastAsia="zh-CN"/>
        </w:rPr>
        <w:t xml:space="preserve"> </w:t>
      </w:r>
      <w:r>
        <w:rPr>
          <w:rStyle w:val="26"/>
          <w:rFonts w:hint="default" w:ascii="Times New Roman" w:hAnsi="Times New Roman" w:cs="Times New Roman"/>
          <w:b/>
          <w:bCs/>
          <w:lang w:eastAsia="zh-CN"/>
        </w:rPr>
        <w:t>Basic Requirements</w:t>
      </w:r>
      <w:r>
        <w:rPr>
          <w:rFonts w:hint="default" w:ascii="Times New Roman" w:hAnsi="Times New Roman" w:cs="Times New Roman"/>
          <w:b/>
          <w:bCs/>
        </w:rPr>
        <w:tab/>
      </w:r>
      <w:r>
        <w:rPr>
          <w:rFonts w:hint="default" w:ascii="Times New Roman" w:hAnsi="Times New Roman" w:cs="Times New Roman"/>
          <w:b/>
          <w:bCs/>
        </w:rPr>
        <w:fldChar w:fldCharType="begin"/>
      </w:r>
      <w:r>
        <w:rPr>
          <w:rFonts w:hint="default" w:ascii="Times New Roman" w:hAnsi="Times New Roman" w:cs="Times New Roman"/>
          <w:b/>
          <w:bCs/>
        </w:rPr>
        <w:instrText xml:space="preserve"> PAGEREF _Toc136506055 \h </w:instrText>
      </w:r>
      <w:r>
        <w:rPr>
          <w:rFonts w:hint="default" w:ascii="Times New Roman" w:hAnsi="Times New Roman" w:cs="Times New Roman"/>
          <w:b/>
          <w:bCs/>
        </w:rPr>
        <w:fldChar w:fldCharType="separate"/>
      </w:r>
      <w:r>
        <w:rPr>
          <w:rFonts w:hint="default" w:ascii="Times New Roman" w:hAnsi="Times New Roman" w:cs="Times New Roman"/>
          <w:b/>
          <w:bCs/>
        </w:rPr>
        <w:t>6</w:t>
      </w:r>
      <w:r>
        <w:rPr>
          <w:rFonts w:hint="default" w:ascii="Times New Roman" w:hAnsi="Times New Roman" w:cs="Times New Roman"/>
          <w:b/>
          <w:bCs/>
        </w:rPr>
        <w:fldChar w:fldCharType="end"/>
      </w:r>
      <w:r>
        <w:rPr>
          <w:rFonts w:hint="default" w:ascii="Times New Roman" w:hAnsi="Times New Roman" w:cs="Times New Roman"/>
          <w:b/>
          <w:bCs/>
        </w:rPr>
        <w:fldChar w:fldCharType="end"/>
      </w:r>
    </w:p>
    <w:p>
      <w:pPr>
        <w:pStyle w:val="17"/>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eastAsiaTheme="minorEastAsia"/>
          <w:b/>
          <w:bCs/>
          <w:sz w:val="21"/>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"_Toc136506056" </w:instrText>
      </w:r>
      <w:r>
        <w:rPr>
          <w:rFonts w:hint="default" w:ascii="Times New Roman" w:hAnsi="Times New Roman" w:cs="Times New Roman"/>
          <w:b/>
          <w:bCs/>
        </w:rPr>
        <w:fldChar w:fldCharType="separate"/>
      </w:r>
      <w:r>
        <w:rPr>
          <w:rStyle w:val="26"/>
          <w:rFonts w:hint="default" w:ascii="Times New Roman" w:hAnsi="Times New Roman" w:cs="Times New Roman"/>
          <w:b/>
          <w:bCs/>
        </w:rPr>
        <w:t>4</w:t>
      </w:r>
      <w:r>
        <w:rPr>
          <w:rStyle w:val="26"/>
          <w:rFonts w:hint="eastAsia" w:ascii="Times New Roman" w:hAnsi="Times New Roman" w:cs="Times New Roman"/>
          <w:b/>
          <w:bCs/>
          <w:lang w:val="en-US" w:eastAsia="zh-CN"/>
        </w:rPr>
        <w:t xml:space="preserve">  System Design</w:t>
      </w:r>
      <w:r>
        <w:rPr>
          <w:rFonts w:hint="default" w:ascii="Times New Roman" w:hAnsi="Times New Roman" w:cs="Times New Roman"/>
          <w:b/>
          <w:bCs/>
        </w:rPr>
        <w:tab/>
      </w:r>
      <w:r>
        <w:rPr>
          <w:rFonts w:hint="default" w:ascii="Times New Roman" w:hAnsi="Times New Roman" w:cs="Times New Roman"/>
          <w:b/>
          <w:bCs/>
        </w:rPr>
        <w:fldChar w:fldCharType="begin"/>
      </w:r>
      <w:r>
        <w:rPr>
          <w:rFonts w:hint="default" w:ascii="Times New Roman" w:hAnsi="Times New Roman" w:cs="Times New Roman"/>
          <w:b/>
          <w:bCs/>
        </w:rPr>
        <w:instrText xml:space="preserve"> PAGEREF _Toc136506056 \h </w:instrText>
      </w:r>
      <w:r>
        <w:rPr>
          <w:rFonts w:hint="default" w:ascii="Times New Roman" w:hAnsi="Times New Roman" w:cs="Times New Roman"/>
          <w:b/>
          <w:bCs/>
        </w:rPr>
        <w:fldChar w:fldCharType="separate"/>
      </w:r>
      <w:r>
        <w:rPr>
          <w:rFonts w:hint="default" w:ascii="Times New Roman" w:hAnsi="Times New Roman" w:cs="Times New Roman"/>
          <w:b/>
          <w:bCs/>
        </w:rPr>
        <w:t>7</w:t>
      </w:r>
      <w:r>
        <w:rPr>
          <w:rFonts w:hint="default" w:ascii="Times New Roman" w:hAnsi="Times New Roman" w:cs="Times New Roman"/>
          <w:b/>
          <w:bCs/>
        </w:rPr>
        <w:fldChar w:fldCharType="end"/>
      </w:r>
      <w:r>
        <w:rPr>
          <w:rFonts w:hint="default" w:ascii="Times New Roman" w:hAnsi="Times New Roman" w:cs="Times New Roman"/>
          <w:b/>
          <w:bCs/>
        </w:rPr>
        <w:fldChar w:fldCharType="end"/>
      </w:r>
    </w:p>
    <w:p>
      <w:pPr>
        <w:pStyle w:val="20"/>
        <w:keepNext w:val="0"/>
        <w:keepLines w:val="0"/>
        <w:pageBreakBefore w:val="0"/>
        <w:widowControl w:val="0"/>
        <w:kinsoku/>
        <w:wordWrap/>
        <w:overflowPunct/>
        <w:topLinePunct w:val="0"/>
        <w:bidi w:val="0"/>
        <w:spacing w:line="360" w:lineRule="auto"/>
        <w:ind w:left="480" w:leftChars="0" w:hanging="480" w:hangingChars="200"/>
        <w:textAlignment w:val="auto"/>
        <w:rPr>
          <w:rFonts w:hint="default" w:ascii="Times New Roman" w:hAnsi="Times New Roman" w:cs="Times New Roman" w:eastAsiaTheme="minorEastAsia"/>
          <w:sz w:val="21"/>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"_Toc136506057" </w:instrText>
      </w:r>
      <w:r>
        <w:rPr>
          <w:rFonts w:hint="default" w:ascii="Times New Roman" w:hAnsi="Times New Roman" w:cs="Times New Roman"/>
        </w:rPr>
        <w:fldChar w:fldCharType="separate"/>
      </w:r>
      <w:r>
        <w:rPr>
          <w:rStyle w:val="26"/>
          <w:rFonts w:hint="default" w:ascii="Times New Roman" w:hAnsi="Times New Roman" w:cs="Times New Roman"/>
        </w:rPr>
        <w:t xml:space="preserve">4.1 </w:t>
      </w:r>
      <w:r>
        <w:rPr>
          <w:rStyle w:val="26"/>
          <w:rFonts w:hint="eastAsia" w:ascii="Times New Roman" w:hAnsi="Times New Roman" w:cs="Times New Roman"/>
          <w:lang w:val="en-US" w:eastAsia="zh-CN"/>
        </w:rPr>
        <w:t xml:space="preserve"> </w:t>
      </w:r>
      <w:r>
        <w:rPr>
          <w:rStyle w:val="26"/>
          <w:rFonts w:hint="default" w:ascii="Times New Roman" w:hAnsi="Times New Roman" w:cs="Times New Roman"/>
          <w:lang w:eastAsia="zh-CN"/>
        </w:rPr>
        <w:t>Basic Requirements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_Toc136506057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0"/>
        <w:keepNext w:val="0"/>
        <w:keepLines w:val="0"/>
        <w:pageBreakBefore w:val="0"/>
        <w:widowControl w:val="0"/>
        <w:kinsoku/>
        <w:wordWrap/>
        <w:overflowPunct/>
        <w:topLinePunct w:val="0"/>
        <w:bidi w:val="0"/>
        <w:spacing w:line="360" w:lineRule="auto"/>
        <w:ind w:left="480" w:leftChars="0" w:hanging="480" w:hangingChars="200"/>
        <w:textAlignment w:val="auto"/>
        <w:rPr>
          <w:rFonts w:hint="default" w:ascii="Times New Roman" w:hAnsi="Times New Roman" w:cs="Times New Roman" w:eastAsiaTheme="minorEastAsia"/>
          <w:sz w:val="21"/>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"_Toc136506058" </w:instrText>
      </w:r>
      <w:r>
        <w:rPr>
          <w:rFonts w:hint="default" w:ascii="Times New Roman" w:hAnsi="Times New Roman" w:cs="Times New Roman"/>
          <w:highlight w:val="none"/>
        </w:rPr>
        <w:fldChar w:fldCharType="separate"/>
      </w:r>
      <w:r>
        <w:rPr>
          <w:rStyle w:val="26"/>
          <w:rFonts w:hint="default" w:ascii="Times New Roman" w:hAnsi="Times New Roman" w:cs="Times New Roman"/>
          <w:highlight w:val="none"/>
        </w:rPr>
        <w:t xml:space="preserve">4.2 </w:t>
      </w:r>
      <w:r>
        <w:rPr>
          <w:rStyle w:val="26"/>
          <w:rFonts w:hint="eastAsia" w:ascii="Times New Roman" w:hAnsi="Times New Roman" w:cs="Times New Roman"/>
          <w:highlight w:val="none"/>
          <w:lang w:val="en-US" w:eastAsia="zh-CN"/>
        </w:rPr>
        <w:t xml:space="preserve"> Monitoring Contents and Monitoring Points Layout</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_Toc136506058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7</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20"/>
        <w:keepNext w:val="0"/>
        <w:keepLines w:val="0"/>
        <w:pageBreakBefore w:val="0"/>
        <w:widowControl w:val="0"/>
        <w:kinsoku/>
        <w:wordWrap/>
        <w:overflowPunct/>
        <w:topLinePunct w:val="0"/>
        <w:bidi w:val="0"/>
        <w:spacing w:line="360" w:lineRule="auto"/>
        <w:ind w:left="480" w:leftChars="0" w:hanging="480" w:hangingChars="200"/>
        <w:textAlignment w:val="auto"/>
        <w:rPr>
          <w:rFonts w:hint="default" w:ascii="Times New Roman" w:hAnsi="Times New Roman" w:cs="Times New Roman" w:eastAsiaTheme="minorEastAsia"/>
          <w:sz w:val="21"/>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"_Toc136506059" </w:instrText>
      </w:r>
      <w:r>
        <w:rPr>
          <w:rFonts w:hint="default" w:ascii="Times New Roman" w:hAnsi="Times New Roman" w:cs="Times New Roman"/>
          <w:highlight w:val="none"/>
        </w:rPr>
        <w:fldChar w:fldCharType="separate"/>
      </w:r>
      <w:r>
        <w:rPr>
          <w:rStyle w:val="26"/>
          <w:rFonts w:hint="default" w:ascii="Times New Roman" w:hAnsi="Times New Roman" w:cs="Times New Roman"/>
          <w:highlight w:val="none"/>
        </w:rPr>
        <w:t xml:space="preserve">4.3 </w:t>
      </w:r>
      <w:r>
        <w:rPr>
          <w:rStyle w:val="26"/>
          <w:rFonts w:hint="eastAsia" w:ascii="Times New Roman" w:hAnsi="Times New Roman" w:cs="Times New Roman"/>
          <w:highlight w:val="none"/>
          <w:lang w:val="en-US" w:eastAsia="zh-CN"/>
        </w:rPr>
        <w:t xml:space="preserve"> Acquisition, Analysis, Assessment and Application of Monitoring Data</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_Toc136506059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22</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20"/>
        <w:keepNext w:val="0"/>
        <w:keepLines w:val="0"/>
        <w:pageBreakBefore w:val="0"/>
        <w:widowControl w:val="0"/>
        <w:kinsoku/>
        <w:wordWrap/>
        <w:overflowPunct/>
        <w:topLinePunct w:val="0"/>
        <w:bidi w:val="0"/>
        <w:spacing w:line="360" w:lineRule="auto"/>
        <w:ind w:left="480" w:leftChars="0" w:hanging="480" w:hangingChars="200"/>
        <w:textAlignment w:val="auto"/>
        <w:rPr>
          <w:rFonts w:hint="default" w:ascii="Times New Roman" w:hAnsi="Times New Roman" w:cs="Times New Roman" w:eastAsiaTheme="minorEastAsia"/>
          <w:sz w:val="21"/>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"_Toc136506060" </w:instrText>
      </w:r>
      <w:r>
        <w:rPr>
          <w:rFonts w:hint="default" w:ascii="Times New Roman" w:hAnsi="Times New Roman" w:cs="Times New Roman"/>
          <w:highlight w:val="none"/>
        </w:rPr>
        <w:fldChar w:fldCharType="separate"/>
      </w:r>
      <w:r>
        <w:rPr>
          <w:rStyle w:val="26"/>
          <w:rFonts w:hint="default" w:ascii="Times New Roman" w:hAnsi="Times New Roman" w:cs="Times New Roman"/>
          <w:highlight w:val="none"/>
        </w:rPr>
        <w:t xml:space="preserve">4.4 </w:t>
      </w:r>
      <w:r>
        <w:rPr>
          <w:rStyle w:val="26"/>
          <w:rFonts w:hint="eastAsia" w:ascii="Times New Roman" w:hAnsi="Times New Roman" w:cs="Times New Roman"/>
          <w:highlight w:val="none"/>
          <w:lang w:val="en-US" w:eastAsia="zh-CN"/>
        </w:rPr>
        <w:t xml:space="preserve"> </w:t>
      </w:r>
      <w:r>
        <w:rPr>
          <w:rStyle w:val="26"/>
          <w:rFonts w:hint="eastAsia" w:cs="Times New Roman"/>
          <w:highlight w:val="none"/>
          <w:lang w:val="en-US" w:eastAsia="zh-CN"/>
        </w:rPr>
        <w:t>Hard</w:t>
      </w:r>
      <w:r>
        <w:rPr>
          <w:rStyle w:val="26"/>
          <w:rFonts w:hint="eastAsia" w:ascii="Times New Roman" w:hAnsi="Times New Roman" w:cs="Times New Roman"/>
          <w:highlight w:val="none"/>
          <w:lang w:val="en-US" w:eastAsia="zh-CN"/>
        </w:rPr>
        <w:t>ware System Design</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_Toc136506060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39</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20"/>
        <w:keepNext w:val="0"/>
        <w:keepLines w:val="0"/>
        <w:pageBreakBefore w:val="0"/>
        <w:widowControl w:val="0"/>
        <w:kinsoku/>
        <w:wordWrap/>
        <w:overflowPunct/>
        <w:topLinePunct w:val="0"/>
        <w:bidi w:val="0"/>
        <w:spacing w:line="360" w:lineRule="auto"/>
        <w:ind w:left="480" w:leftChars="0" w:hanging="480" w:hangingChars="200"/>
        <w:textAlignment w:val="auto"/>
        <w:rPr>
          <w:rFonts w:hint="default" w:ascii="Times New Roman" w:hAnsi="Times New Roman" w:cs="Times New Roman" w:eastAsiaTheme="minorEastAsia"/>
          <w:sz w:val="21"/>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"_Toc136506061" </w:instrText>
      </w:r>
      <w:r>
        <w:rPr>
          <w:rFonts w:hint="default" w:ascii="Times New Roman" w:hAnsi="Times New Roman" w:cs="Times New Roman"/>
          <w:highlight w:val="none"/>
        </w:rPr>
        <w:fldChar w:fldCharType="separate"/>
      </w:r>
      <w:r>
        <w:rPr>
          <w:rStyle w:val="26"/>
          <w:rFonts w:hint="default" w:ascii="Times New Roman" w:hAnsi="Times New Roman" w:cs="Times New Roman"/>
          <w:highlight w:val="none"/>
        </w:rPr>
        <w:t xml:space="preserve">4.5 </w:t>
      </w:r>
      <w:r>
        <w:rPr>
          <w:rStyle w:val="26"/>
          <w:rFonts w:hint="eastAsia" w:ascii="Times New Roman" w:hAnsi="Times New Roman" w:cs="Times New Roman"/>
          <w:highlight w:val="none"/>
          <w:lang w:val="en-US" w:eastAsia="zh-CN"/>
        </w:rPr>
        <w:t xml:space="preserve"> Software System Design</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_Toc136506061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51</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20"/>
        <w:keepNext w:val="0"/>
        <w:keepLines w:val="0"/>
        <w:pageBreakBefore w:val="0"/>
        <w:widowControl w:val="0"/>
        <w:kinsoku/>
        <w:wordWrap/>
        <w:overflowPunct/>
        <w:topLinePunct w:val="0"/>
        <w:bidi w:val="0"/>
        <w:spacing w:line="360" w:lineRule="auto"/>
        <w:ind w:left="480" w:leftChars="0" w:hanging="480" w:hangingChars="200"/>
        <w:textAlignment w:val="auto"/>
        <w:rPr>
          <w:rFonts w:hint="default" w:ascii="Times New Roman" w:hAnsi="Times New Roman" w:cs="Times New Roman" w:eastAsiaTheme="minorEastAsia"/>
          <w:sz w:val="21"/>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"_Toc136506062" </w:instrText>
      </w:r>
      <w:r>
        <w:rPr>
          <w:rFonts w:hint="default" w:ascii="Times New Roman" w:hAnsi="Times New Roman" w:cs="Times New Roman"/>
          <w:highlight w:val="none"/>
        </w:rPr>
        <w:fldChar w:fldCharType="separate"/>
      </w:r>
      <w:r>
        <w:rPr>
          <w:rStyle w:val="26"/>
          <w:rFonts w:hint="default" w:ascii="Times New Roman" w:hAnsi="Times New Roman" w:cs="Times New Roman"/>
          <w:highlight w:val="none"/>
        </w:rPr>
        <w:t xml:space="preserve">4.6 </w:t>
      </w:r>
      <w:r>
        <w:rPr>
          <w:rStyle w:val="26"/>
          <w:rFonts w:hint="eastAsia" w:ascii="Times New Roman" w:hAnsi="Times New Roman" w:cs="Times New Roman"/>
          <w:highlight w:val="none"/>
          <w:lang w:val="en-US" w:eastAsia="zh-CN"/>
        </w:rPr>
        <w:t xml:space="preserve"> Monitoring Design for Special Line</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_Toc136506062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54</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20"/>
        <w:keepNext w:val="0"/>
        <w:keepLines w:val="0"/>
        <w:pageBreakBefore w:val="0"/>
        <w:widowControl w:val="0"/>
        <w:kinsoku/>
        <w:wordWrap/>
        <w:overflowPunct/>
        <w:topLinePunct w:val="0"/>
        <w:bidi w:val="0"/>
        <w:spacing w:line="360" w:lineRule="auto"/>
        <w:ind w:left="480" w:leftChars="0" w:hanging="480" w:hangingChars="200"/>
        <w:textAlignment w:val="auto"/>
        <w:rPr>
          <w:rFonts w:hint="default" w:ascii="Times New Roman" w:hAnsi="Times New Roman" w:cs="Times New Roman" w:eastAsiaTheme="minorEastAsia"/>
          <w:sz w:val="21"/>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"_Toc136506063" </w:instrText>
      </w:r>
      <w:r>
        <w:rPr>
          <w:rFonts w:hint="default" w:ascii="Times New Roman" w:hAnsi="Times New Roman" w:cs="Times New Roman"/>
          <w:highlight w:val="none"/>
        </w:rPr>
        <w:fldChar w:fldCharType="separate"/>
      </w:r>
      <w:r>
        <w:rPr>
          <w:rStyle w:val="26"/>
          <w:rFonts w:hint="default" w:ascii="Times New Roman" w:hAnsi="Times New Roman" w:cs="Times New Roman"/>
          <w:highlight w:val="none"/>
        </w:rPr>
        <w:t>4.7</w:t>
      </w:r>
      <w:r>
        <w:rPr>
          <w:rStyle w:val="26"/>
          <w:rFonts w:hint="eastAsia" w:ascii="Times New Roman" w:hAnsi="Times New Roman" w:cs="Times New Roman"/>
          <w:highlight w:val="none"/>
          <w:lang w:val="en-US" w:eastAsia="zh-CN"/>
        </w:rPr>
        <w:t xml:space="preserve">  Monitoring in Construction Period and </w:t>
      </w:r>
      <w:bookmarkStart w:id="13" w:name="OLE_LINK8"/>
      <w:r>
        <w:rPr>
          <w:rStyle w:val="26"/>
          <w:rFonts w:hint="eastAsia" w:ascii="Times New Roman" w:hAnsi="Times New Roman" w:cs="Times New Roman"/>
          <w:highlight w:val="none"/>
          <w:lang w:val="en-US" w:eastAsia="zh-CN"/>
        </w:rPr>
        <w:t>Incorporation (Inclusion)</w:t>
      </w:r>
      <w:bookmarkEnd w:id="13"/>
      <w:r>
        <w:rPr>
          <w:rStyle w:val="26"/>
          <w:rFonts w:hint="eastAsia" w:ascii="Times New Roman" w:hAnsi="Times New Roman" w:cs="Times New Roman"/>
          <w:highlight w:val="none"/>
          <w:lang w:val="en-US" w:eastAsia="zh-CN"/>
        </w:rPr>
        <w:t xml:space="preserve"> of Other Data Sources</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_Toc136506063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55</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20"/>
        <w:keepNext w:val="0"/>
        <w:keepLines w:val="0"/>
        <w:pageBreakBefore w:val="0"/>
        <w:widowControl w:val="0"/>
        <w:kinsoku/>
        <w:wordWrap/>
        <w:overflowPunct/>
        <w:topLinePunct w:val="0"/>
        <w:bidi w:val="0"/>
        <w:spacing w:line="360" w:lineRule="auto"/>
        <w:ind w:left="480" w:leftChars="0" w:hanging="480" w:hangingChars="200"/>
        <w:textAlignment w:val="auto"/>
        <w:rPr>
          <w:rFonts w:hint="default" w:ascii="Times New Roman" w:hAnsi="Times New Roman" w:cs="Times New Roman" w:eastAsiaTheme="minorEastAsia"/>
          <w:sz w:val="21"/>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"_Toc136506064" </w:instrText>
      </w:r>
      <w:r>
        <w:rPr>
          <w:rFonts w:hint="default" w:ascii="Times New Roman" w:hAnsi="Times New Roman" w:cs="Times New Roman"/>
          <w:highlight w:val="none"/>
        </w:rPr>
        <w:fldChar w:fldCharType="separate"/>
      </w:r>
      <w:r>
        <w:rPr>
          <w:rStyle w:val="26"/>
          <w:rFonts w:hint="default" w:ascii="Times New Roman" w:hAnsi="Times New Roman" w:cs="Times New Roman"/>
          <w:highlight w:val="none"/>
        </w:rPr>
        <w:t xml:space="preserve">4.8 </w:t>
      </w:r>
      <w:r>
        <w:rPr>
          <w:rStyle w:val="26"/>
          <w:rFonts w:hint="eastAsia" w:ascii="Times New Roman" w:hAnsi="Times New Roman" w:cs="Times New Roman"/>
          <w:highlight w:val="none"/>
          <w:lang w:val="en-US" w:eastAsia="zh-CN"/>
        </w:rPr>
        <w:t xml:space="preserve"> IoT Connection of the System</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_Toc136506064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56</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17"/>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eastAsiaTheme="minorEastAsia"/>
          <w:b/>
          <w:bCs/>
          <w:sz w:val="21"/>
          <w:highlight w:val="none"/>
        </w:rPr>
      </w:pP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HYPERLINK \l "_Toc136506065" </w:instrText>
      </w:r>
      <w:r>
        <w:rPr>
          <w:rFonts w:hint="default" w:ascii="Times New Roman" w:hAnsi="Times New Roman" w:cs="Times New Roman"/>
          <w:b/>
          <w:bCs/>
          <w:highlight w:val="none"/>
        </w:rPr>
        <w:fldChar w:fldCharType="separate"/>
      </w:r>
      <w:r>
        <w:rPr>
          <w:rStyle w:val="26"/>
          <w:rFonts w:hint="default" w:ascii="Times New Roman" w:hAnsi="Times New Roman" w:cs="Times New Roman"/>
          <w:b/>
          <w:bCs/>
          <w:highlight w:val="none"/>
        </w:rPr>
        <w:t xml:space="preserve">5 </w:t>
      </w:r>
      <w:r>
        <w:rPr>
          <w:rStyle w:val="26"/>
          <w:rFonts w:hint="eastAsia" w:ascii="Times New Roman" w:hAnsi="Times New Roman" w:cs="Times New Roman"/>
          <w:b/>
          <w:bCs/>
          <w:highlight w:val="none"/>
          <w:lang w:val="en-US" w:eastAsia="zh-CN"/>
        </w:rPr>
        <w:t xml:space="preserve"> System Implementation</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_Toc136506065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57</w:t>
      </w:r>
      <w:r>
        <w:rPr>
          <w:rFonts w:hint="default" w:ascii="Times New Roman" w:hAnsi="Times New Roman" w:cs="Times New Roman"/>
          <w:b/>
          <w:bCs/>
          <w:highlight w:val="none"/>
        </w:rPr>
        <w:fldChar w:fldCharType="end"/>
      </w:r>
      <w:r>
        <w:rPr>
          <w:rFonts w:hint="default" w:ascii="Times New Roman" w:hAnsi="Times New Roman" w:cs="Times New Roman"/>
          <w:b/>
          <w:bCs/>
          <w:highlight w:val="none"/>
        </w:rPr>
        <w:fldChar w:fldCharType="end"/>
      </w:r>
    </w:p>
    <w:p>
      <w:pPr>
        <w:pStyle w:val="20"/>
        <w:keepNext w:val="0"/>
        <w:keepLines w:val="0"/>
        <w:pageBreakBefore w:val="0"/>
        <w:widowControl w:val="0"/>
        <w:kinsoku/>
        <w:wordWrap/>
        <w:overflowPunct/>
        <w:topLinePunct w:val="0"/>
        <w:bidi w:val="0"/>
        <w:spacing w:line="360" w:lineRule="auto"/>
        <w:ind w:left="480" w:leftChars="0" w:hanging="480" w:hangingChars="200"/>
        <w:textAlignment w:val="auto"/>
        <w:rPr>
          <w:rFonts w:hint="default" w:ascii="Times New Roman" w:hAnsi="Times New Roman" w:cs="Times New Roman" w:eastAsiaTheme="minorEastAsia"/>
          <w:sz w:val="21"/>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"_Toc136506066" </w:instrText>
      </w:r>
      <w:r>
        <w:rPr>
          <w:rFonts w:hint="default" w:ascii="Times New Roman" w:hAnsi="Times New Roman" w:cs="Times New Roman"/>
          <w:highlight w:val="none"/>
        </w:rPr>
        <w:fldChar w:fldCharType="separate"/>
      </w:r>
      <w:r>
        <w:rPr>
          <w:rStyle w:val="26"/>
          <w:rFonts w:hint="default" w:ascii="Times New Roman" w:hAnsi="Times New Roman" w:cs="Times New Roman"/>
          <w:highlight w:val="none"/>
        </w:rPr>
        <w:t xml:space="preserve">5.1 </w:t>
      </w:r>
      <w:r>
        <w:rPr>
          <w:rStyle w:val="26"/>
          <w:rFonts w:hint="eastAsia" w:ascii="Times New Roman" w:hAnsi="Times New Roman" w:cs="Times New Roman"/>
          <w:highlight w:val="none"/>
          <w:lang w:val="en-US" w:eastAsia="zh-CN"/>
        </w:rPr>
        <w:t xml:space="preserve"> </w:t>
      </w:r>
      <w:r>
        <w:rPr>
          <w:rStyle w:val="26"/>
          <w:rFonts w:hint="default" w:ascii="Times New Roman" w:hAnsi="Times New Roman" w:cs="Times New Roman"/>
          <w:highlight w:val="none"/>
          <w:lang w:eastAsia="zh-CN"/>
        </w:rPr>
        <w:t>Basic Requirements</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_Toc136506066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57</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20"/>
        <w:keepNext w:val="0"/>
        <w:keepLines w:val="0"/>
        <w:pageBreakBefore w:val="0"/>
        <w:widowControl w:val="0"/>
        <w:kinsoku/>
        <w:wordWrap/>
        <w:overflowPunct/>
        <w:topLinePunct w:val="0"/>
        <w:bidi w:val="0"/>
        <w:spacing w:line="360" w:lineRule="auto"/>
        <w:ind w:left="480" w:leftChars="0" w:hanging="480" w:hangingChars="200"/>
        <w:textAlignment w:val="auto"/>
        <w:rPr>
          <w:rFonts w:hint="default" w:ascii="Times New Roman" w:hAnsi="Times New Roman" w:cs="Times New Roman" w:eastAsiaTheme="minorEastAsia"/>
          <w:sz w:val="21"/>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"_Toc136506067" </w:instrText>
      </w:r>
      <w:r>
        <w:rPr>
          <w:rFonts w:hint="default" w:ascii="Times New Roman" w:hAnsi="Times New Roman" w:cs="Times New Roman"/>
          <w:highlight w:val="none"/>
        </w:rPr>
        <w:fldChar w:fldCharType="separate"/>
      </w:r>
      <w:r>
        <w:rPr>
          <w:rStyle w:val="26"/>
          <w:rFonts w:hint="default" w:ascii="Times New Roman" w:hAnsi="Times New Roman" w:cs="Times New Roman"/>
          <w:highlight w:val="none"/>
        </w:rPr>
        <w:t xml:space="preserve">5.2 </w:t>
      </w:r>
      <w:r>
        <w:rPr>
          <w:rStyle w:val="26"/>
          <w:rFonts w:hint="eastAsia" w:ascii="Times New Roman" w:hAnsi="Times New Roman" w:cs="Times New Roman"/>
          <w:highlight w:val="none"/>
          <w:lang w:val="en-US" w:eastAsia="zh-CN"/>
        </w:rPr>
        <w:t xml:space="preserve"> System Construction Organization</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_Toc136506067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60</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20"/>
        <w:keepNext w:val="0"/>
        <w:keepLines w:val="0"/>
        <w:pageBreakBefore w:val="0"/>
        <w:widowControl w:val="0"/>
        <w:kinsoku/>
        <w:wordWrap/>
        <w:overflowPunct/>
        <w:topLinePunct w:val="0"/>
        <w:bidi w:val="0"/>
        <w:spacing w:line="360" w:lineRule="auto"/>
        <w:ind w:left="480" w:leftChars="0" w:hanging="480" w:hangingChars="200"/>
        <w:textAlignment w:val="auto"/>
        <w:rPr>
          <w:rFonts w:hint="default" w:ascii="Times New Roman" w:hAnsi="Times New Roman" w:cs="Times New Roman"/>
          <w:highlight w:val="none"/>
          <w:lang w:eastAsia="zh-CN"/>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"_Toc136506068"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 xml:space="preserve">5.3 </w:t>
      </w:r>
      <w:r>
        <w:rPr>
          <w:rFonts w:hint="eastAsia" w:ascii="Times New Roman" w:hAnsi="Times New Roman" w:cs="Times New Roman"/>
          <w:highlight w:val="none"/>
          <w:lang w:val="en-US" w:eastAsia="zh-CN"/>
        </w:rPr>
        <w:t xml:space="preserve"> Trial Operation of System</w:t>
      </w:r>
    </w:p>
    <w:p>
      <w:pPr>
        <w:pStyle w:val="20"/>
        <w:keepNext w:val="0"/>
        <w:keepLines w:val="0"/>
        <w:pageBreakBefore w:val="0"/>
        <w:widowControl w:val="0"/>
        <w:kinsoku/>
        <w:wordWrap/>
        <w:overflowPunct/>
        <w:topLinePunct w:val="0"/>
        <w:bidi w:val="0"/>
        <w:spacing w:line="360" w:lineRule="auto"/>
        <w:ind w:left="480" w:leftChars="0" w:hanging="480" w:hangingChars="200"/>
        <w:textAlignment w:val="auto"/>
        <w:rPr>
          <w:rFonts w:hint="default" w:ascii="Times New Roman" w:hAnsi="Times New Roman" w:cs="Times New Roman" w:eastAsiaTheme="minorEastAsia"/>
          <w:sz w:val="21"/>
        </w:rPr>
      </w:pPr>
      <w:r>
        <w:rPr>
          <w:rStyle w:val="26"/>
          <w:rFonts w:hint="default" w:ascii="Times New Roman" w:hAnsi="Times New Roman" w:cs="Times New Roman"/>
          <w:highlight w:val="none"/>
          <w:lang w:val="en-US" w:eastAsia="zh-CN"/>
        </w:rPr>
        <w:t>5.4</w:t>
      </w:r>
      <w:r>
        <w:rPr>
          <w:rStyle w:val="26"/>
          <w:rFonts w:hint="eastAsia" w:ascii="Times New Roman" w:hAnsi="Times New Roman" w:cs="Times New Roman"/>
          <w:highlight w:val="none"/>
          <w:lang w:val="en-US" w:eastAsia="zh-CN"/>
        </w:rPr>
        <w:t xml:space="preserve">  Project Quality Management</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_Toc136506068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67</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17"/>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eastAsiaTheme="minorEastAsia"/>
          <w:b/>
          <w:bCs/>
          <w:sz w:val="21"/>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\l "_Toc136506069" </w:instrText>
      </w:r>
      <w:r>
        <w:rPr>
          <w:rFonts w:hint="default" w:ascii="Times New Roman" w:hAnsi="Times New Roman" w:cs="Times New Roman"/>
          <w:b/>
          <w:bCs/>
        </w:rPr>
        <w:fldChar w:fldCharType="separate"/>
      </w:r>
      <w:r>
        <w:rPr>
          <w:rStyle w:val="26"/>
          <w:rFonts w:hint="default" w:ascii="Times New Roman" w:hAnsi="Times New Roman" w:cs="Times New Roman"/>
          <w:b/>
          <w:bCs/>
        </w:rPr>
        <w:t xml:space="preserve">6 </w:t>
      </w:r>
      <w:r>
        <w:rPr>
          <w:rStyle w:val="26"/>
          <w:rFonts w:hint="eastAsia" w:ascii="Times New Roman" w:hAnsi="Times New Roman" w:cs="Times New Roman"/>
          <w:b/>
          <w:bCs/>
          <w:lang w:val="en-US" w:eastAsia="zh-CN"/>
        </w:rPr>
        <w:t xml:space="preserve"> System Management and Maintenance</w:t>
      </w:r>
      <w:r>
        <w:rPr>
          <w:rFonts w:hint="default" w:ascii="Times New Roman" w:hAnsi="Times New Roman" w:cs="Times New Roman"/>
          <w:b/>
          <w:bCs/>
        </w:rPr>
        <w:tab/>
      </w:r>
      <w:r>
        <w:rPr>
          <w:rFonts w:hint="default" w:ascii="Times New Roman" w:hAnsi="Times New Roman" w:cs="Times New Roman"/>
          <w:b/>
          <w:bCs/>
        </w:rPr>
        <w:fldChar w:fldCharType="begin"/>
      </w:r>
      <w:r>
        <w:rPr>
          <w:rFonts w:hint="default" w:ascii="Times New Roman" w:hAnsi="Times New Roman" w:cs="Times New Roman"/>
          <w:b/>
          <w:bCs/>
        </w:rPr>
        <w:instrText xml:space="preserve"> PAGEREF _Toc136506069 \h </w:instrText>
      </w:r>
      <w:r>
        <w:rPr>
          <w:rFonts w:hint="default" w:ascii="Times New Roman" w:hAnsi="Times New Roman" w:cs="Times New Roman"/>
          <w:b/>
          <w:bCs/>
        </w:rPr>
        <w:fldChar w:fldCharType="separate"/>
      </w:r>
      <w:r>
        <w:rPr>
          <w:rFonts w:hint="default" w:ascii="Times New Roman" w:hAnsi="Times New Roman" w:cs="Times New Roman"/>
          <w:b/>
          <w:bCs/>
        </w:rPr>
        <w:t>75</w:t>
      </w:r>
      <w:r>
        <w:rPr>
          <w:rFonts w:hint="default" w:ascii="Times New Roman" w:hAnsi="Times New Roman" w:cs="Times New Roman"/>
          <w:b/>
          <w:bCs/>
        </w:rPr>
        <w:fldChar w:fldCharType="end"/>
      </w:r>
      <w:r>
        <w:rPr>
          <w:rFonts w:hint="default" w:ascii="Times New Roman" w:hAnsi="Times New Roman" w:cs="Times New Roman"/>
          <w:b/>
          <w:bCs/>
        </w:rPr>
        <w:fldChar w:fldCharType="end"/>
      </w:r>
    </w:p>
    <w:p>
      <w:pPr>
        <w:pStyle w:val="20"/>
        <w:keepNext w:val="0"/>
        <w:keepLines w:val="0"/>
        <w:pageBreakBefore w:val="0"/>
        <w:widowControl w:val="0"/>
        <w:kinsoku/>
        <w:wordWrap/>
        <w:overflowPunct/>
        <w:topLinePunct w:val="0"/>
        <w:bidi w:val="0"/>
        <w:spacing w:line="360" w:lineRule="auto"/>
        <w:ind w:left="480" w:leftChars="0" w:hanging="480" w:hangingChars="200"/>
        <w:textAlignment w:val="auto"/>
        <w:rPr>
          <w:rFonts w:hint="default" w:ascii="Times New Roman" w:hAnsi="Times New Roman" w:cs="Times New Roman" w:eastAsiaTheme="minorEastAsia"/>
          <w:sz w:val="21"/>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"_Toc136506070" </w:instrText>
      </w:r>
      <w:r>
        <w:rPr>
          <w:rFonts w:hint="default" w:ascii="Times New Roman" w:hAnsi="Times New Roman" w:cs="Times New Roman"/>
        </w:rPr>
        <w:fldChar w:fldCharType="separate"/>
      </w:r>
      <w:r>
        <w:rPr>
          <w:rStyle w:val="26"/>
          <w:rFonts w:hint="default" w:ascii="Times New Roman" w:hAnsi="Times New Roman" w:cs="Times New Roman"/>
        </w:rPr>
        <w:t xml:space="preserve">6.1 </w:t>
      </w:r>
      <w:r>
        <w:rPr>
          <w:rStyle w:val="26"/>
          <w:rFonts w:hint="eastAsia" w:ascii="Times New Roman" w:hAnsi="Times New Roman" w:cs="Times New Roman"/>
          <w:lang w:val="en-US" w:eastAsia="zh-CN"/>
        </w:rPr>
        <w:t xml:space="preserve"> </w:t>
      </w:r>
      <w:r>
        <w:rPr>
          <w:rStyle w:val="26"/>
          <w:rFonts w:hint="default" w:ascii="Times New Roman" w:hAnsi="Times New Roman" w:cs="Times New Roman"/>
          <w:lang w:eastAsia="zh-CN"/>
        </w:rPr>
        <w:t>Basic Requirements</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_Toc136506070 \h </w:instrText>
      </w:r>
      <w:r>
        <w:rPr>
          <w:rFonts w:hint="default" w:ascii="Times New Roman" w:hAnsi="Times New Roman" w:cs="Times New Roman"/>
        </w:rPr>
        <w:fldChar w:fldCharType="separate"/>
      </w:r>
      <w:r>
        <w:rPr>
          <w:rFonts w:hint="default" w:ascii="Times New Roman" w:hAnsi="Times New Roman" w:cs="Times New Roman"/>
        </w:rPr>
        <w:t>75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0"/>
        <w:keepNext w:val="0"/>
        <w:keepLines w:val="0"/>
        <w:pageBreakBefore w:val="0"/>
        <w:widowControl w:val="0"/>
        <w:kinsoku/>
        <w:wordWrap/>
        <w:overflowPunct/>
        <w:topLinePunct w:val="0"/>
        <w:bidi w:val="0"/>
        <w:spacing w:line="360" w:lineRule="auto"/>
        <w:ind w:left="480" w:leftChars="0" w:hanging="480" w:hangingChars="200"/>
        <w:textAlignment w:val="auto"/>
        <w:rPr>
          <w:rFonts w:hint="default" w:ascii="Times New Roman" w:hAnsi="Times New Roman" w:cs="Times New Roman" w:eastAsiaTheme="minorEastAsia"/>
          <w:sz w:val="21"/>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"_Toc136506071" </w:instrText>
      </w:r>
      <w:r>
        <w:rPr>
          <w:rFonts w:hint="default" w:ascii="Times New Roman" w:hAnsi="Times New Roman" w:cs="Times New Roman"/>
        </w:rPr>
        <w:fldChar w:fldCharType="separate"/>
      </w:r>
      <w:r>
        <w:rPr>
          <w:rStyle w:val="26"/>
          <w:rFonts w:hint="default" w:ascii="Times New Roman" w:hAnsi="Times New Roman" w:cs="Times New Roman"/>
        </w:rPr>
        <w:t xml:space="preserve">6.2 </w:t>
      </w:r>
      <w:r>
        <w:rPr>
          <w:rStyle w:val="26"/>
          <w:rFonts w:hint="eastAsia" w:ascii="Times New Roman" w:hAnsi="Times New Roman" w:cs="Times New Roman"/>
          <w:lang w:val="en-US" w:eastAsia="zh-CN"/>
        </w:rPr>
        <w:t xml:space="preserve"> Routine Maintenance</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_Toc136506071 \h </w:instrText>
      </w:r>
      <w:r>
        <w:rPr>
          <w:rFonts w:hint="default" w:ascii="Times New Roman" w:hAnsi="Times New Roman" w:cs="Times New Roman"/>
        </w:rPr>
        <w:fldChar w:fldCharType="separate"/>
      </w:r>
      <w:r>
        <w:rPr>
          <w:rFonts w:hint="default" w:ascii="Times New Roman" w:hAnsi="Times New Roman" w:cs="Times New Roman"/>
        </w:rPr>
        <w:t>75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0"/>
        <w:keepNext w:val="0"/>
        <w:keepLines w:val="0"/>
        <w:pageBreakBefore w:val="0"/>
        <w:widowControl w:val="0"/>
        <w:kinsoku/>
        <w:wordWrap/>
        <w:overflowPunct/>
        <w:topLinePunct w:val="0"/>
        <w:bidi w:val="0"/>
        <w:spacing w:line="360" w:lineRule="auto"/>
        <w:ind w:left="480" w:leftChars="0" w:hanging="480" w:hangingChars="200"/>
        <w:textAlignment w:val="auto"/>
        <w:rPr>
          <w:rFonts w:hint="default" w:ascii="Times New Roman" w:hAnsi="Times New Roman" w:cs="Times New Roman" w:eastAsiaTheme="minorEastAsia"/>
          <w:sz w:val="21"/>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"_Toc136506073" </w:instrText>
      </w:r>
      <w:r>
        <w:rPr>
          <w:rFonts w:hint="default" w:ascii="Times New Roman" w:hAnsi="Times New Roman" w:cs="Times New Roman"/>
        </w:rPr>
        <w:fldChar w:fldCharType="separate"/>
      </w:r>
      <w:r>
        <w:rPr>
          <w:rStyle w:val="26"/>
          <w:rFonts w:hint="default" w:ascii="Times New Roman" w:hAnsi="Times New Roman" w:cs="Times New Roman"/>
        </w:rPr>
        <w:t xml:space="preserve">6.3 </w:t>
      </w:r>
      <w:r>
        <w:rPr>
          <w:rStyle w:val="26"/>
          <w:rFonts w:hint="eastAsia" w:ascii="Times New Roman" w:hAnsi="Times New Roman" w:cs="Times New Roman"/>
          <w:lang w:val="en-US" w:eastAsia="zh-CN"/>
        </w:rPr>
        <w:t xml:space="preserve"> Special Maintenance</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_Toc136506073 \h </w:instrText>
      </w:r>
      <w:r>
        <w:rPr>
          <w:rFonts w:hint="default" w:ascii="Times New Roman" w:hAnsi="Times New Roman" w:cs="Times New Roman"/>
        </w:rPr>
        <w:fldChar w:fldCharType="separate"/>
      </w:r>
      <w:r>
        <w:rPr>
          <w:rFonts w:hint="default" w:ascii="Times New Roman" w:hAnsi="Times New Roman" w:cs="Times New Roman"/>
        </w:rPr>
        <w:t>76</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0"/>
        <w:keepNext w:val="0"/>
        <w:keepLines w:val="0"/>
        <w:pageBreakBefore w:val="0"/>
        <w:widowControl w:val="0"/>
        <w:kinsoku/>
        <w:wordWrap/>
        <w:overflowPunct/>
        <w:topLinePunct w:val="0"/>
        <w:bidi w:val="0"/>
        <w:spacing w:line="360" w:lineRule="auto"/>
        <w:ind w:left="480" w:leftChars="0" w:hanging="480" w:hangingChars="200"/>
        <w:textAlignment w:val="auto"/>
        <w:rPr>
          <w:rFonts w:hint="default" w:ascii="Times New Roman" w:hAnsi="Times New Roman" w:cs="Times New Roman" w:eastAsiaTheme="minorEastAsia"/>
          <w:sz w:val="21"/>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"_Toc136506074" </w:instrText>
      </w:r>
      <w:r>
        <w:rPr>
          <w:rFonts w:hint="default" w:ascii="Times New Roman" w:hAnsi="Times New Roman" w:cs="Times New Roman"/>
          <w:highlight w:val="none"/>
        </w:rPr>
        <w:fldChar w:fldCharType="separate"/>
      </w:r>
      <w:r>
        <w:rPr>
          <w:rStyle w:val="26"/>
          <w:rFonts w:hint="default" w:ascii="Times New Roman" w:hAnsi="Times New Roman" w:cs="Times New Roman"/>
          <w:highlight w:val="none"/>
        </w:rPr>
        <w:t xml:space="preserve">6.4 </w:t>
      </w:r>
      <w:r>
        <w:rPr>
          <w:rStyle w:val="26"/>
          <w:rFonts w:hint="eastAsia" w:ascii="Times New Roman" w:hAnsi="Times New Roman" w:cs="Times New Roman"/>
          <w:highlight w:val="none"/>
          <w:lang w:val="en-US" w:eastAsia="zh-CN"/>
        </w:rPr>
        <w:t xml:space="preserve"> Exceptional Handling</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_Toc136506074 \h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77</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17"/>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eastAsiaTheme="minorEastAsia"/>
          <w:b/>
          <w:bCs/>
          <w:sz w:val="21"/>
          <w:highlight w:val="none"/>
        </w:rPr>
      </w:pP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HYPERLINK \l "_Toc136506075" </w:instrText>
      </w:r>
      <w:r>
        <w:rPr>
          <w:rFonts w:hint="default" w:ascii="Times New Roman" w:hAnsi="Times New Roman" w:cs="Times New Roman"/>
          <w:b/>
          <w:bCs/>
          <w:highlight w:val="none"/>
        </w:rPr>
        <w:fldChar w:fldCharType="separate"/>
      </w:r>
      <w:r>
        <w:rPr>
          <w:rFonts w:hint="default" w:ascii="Times New Roman" w:hAnsi="Times New Roman" w:cs="Times New Roman"/>
          <w:b/>
          <w:bCs/>
          <w:kern w:val="0"/>
          <w:sz w:val="22"/>
          <w:szCs w:val="22"/>
          <w:highlight w:val="none"/>
        </w:rPr>
        <w:t>Appendix A</w:t>
      </w:r>
      <w:r>
        <w:rPr>
          <w:rFonts w:hint="eastAsia" w:ascii="Times New Roman" w:hAnsi="Times New Roman" w:cs="Times New Roman"/>
          <w:b/>
          <w:bCs/>
          <w:kern w:val="0"/>
          <w:sz w:val="22"/>
          <w:szCs w:val="22"/>
          <w:highlight w:val="none"/>
          <w:lang w:val="en-US" w:eastAsia="zh-CN"/>
        </w:rPr>
        <w:t xml:space="preserve">  </w:t>
      </w:r>
      <w:r>
        <w:rPr>
          <w:rStyle w:val="26"/>
          <w:rFonts w:hint="eastAsia" w:ascii="Times New Roman" w:hAnsi="Times New Roman" w:cs="Times New Roman"/>
          <w:b/>
          <w:bCs/>
          <w:highlight w:val="none"/>
          <w:lang w:val="en-US" w:eastAsia="zh-CN"/>
        </w:rPr>
        <w:t>(Informative) Acceptance Form</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_Toc136506075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79</w:t>
      </w:r>
      <w:r>
        <w:rPr>
          <w:rFonts w:hint="default" w:ascii="Times New Roman" w:hAnsi="Times New Roman" w:cs="Times New Roman"/>
          <w:b/>
          <w:bCs/>
          <w:highlight w:val="none"/>
        </w:rPr>
        <w:fldChar w:fldCharType="end"/>
      </w:r>
      <w:r>
        <w:rPr>
          <w:rFonts w:hint="default" w:ascii="Times New Roman" w:hAnsi="Times New Roman" w:cs="Times New Roman"/>
          <w:b/>
          <w:bCs/>
          <w:highlight w:val="none"/>
        </w:rPr>
        <w:fldChar w:fldCharType="end"/>
      </w:r>
    </w:p>
    <w:p>
      <w:pPr>
        <w:pStyle w:val="17"/>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eastAsiaTheme="minorEastAsia"/>
          <w:b/>
          <w:bCs/>
          <w:sz w:val="21"/>
          <w:highlight w:val="none"/>
        </w:rPr>
      </w:pP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HYPERLINK \l "_Toc136506076" </w:instrText>
      </w:r>
      <w:r>
        <w:rPr>
          <w:rFonts w:hint="default" w:ascii="Times New Roman" w:hAnsi="Times New Roman" w:cs="Times New Roman"/>
          <w:b/>
          <w:bCs/>
          <w:highlight w:val="none"/>
        </w:rPr>
        <w:fldChar w:fldCharType="separate"/>
      </w:r>
      <w:r>
        <w:rPr>
          <w:rFonts w:hint="default" w:ascii="Times New Roman" w:hAnsi="Times New Roman" w:cs="Times New Roman"/>
          <w:b/>
          <w:bCs/>
          <w:kern w:val="0"/>
          <w:sz w:val="22"/>
          <w:szCs w:val="22"/>
          <w:highlight w:val="none"/>
        </w:rPr>
        <w:t xml:space="preserve">Appendix </w:t>
      </w:r>
      <w:r>
        <w:rPr>
          <w:rFonts w:hint="default" w:ascii="Times New Roman" w:hAnsi="Times New Roman" w:cs="Times New Roman"/>
          <w:b/>
          <w:bCs/>
          <w:kern w:val="0"/>
          <w:sz w:val="22"/>
          <w:szCs w:val="22"/>
          <w:highlight w:val="none"/>
          <w:lang w:val="en-US" w:eastAsia="zh-CN"/>
        </w:rPr>
        <w:t>B</w:t>
      </w:r>
      <w:r>
        <w:rPr>
          <w:rFonts w:hint="eastAsia" w:ascii="Times New Roman" w:hAnsi="Times New Roman" w:cs="Times New Roman"/>
          <w:b/>
          <w:bCs/>
          <w:kern w:val="0"/>
          <w:sz w:val="22"/>
          <w:szCs w:val="22"/>
          <w:highlight w:val="none"/>
          <w:lang w:val="en-US" w:eastAsia="zh-CN"/>
        </w:rPr>
        <w:t xml:space="preserve">  (Informative</w:t>
      </w:r>
      <w:r>
        <w:rPr>
          <w:rStyle w:val="26"/>
          <w:rFonts w:hint="eastAsia" w:ascii="Times New Roman" w:hAnsi="Times New Roman" w:cs="Times New Roman"/>
          <w:b/>
          <w:bCs/>
          <w:highlight w:val="none"/>
          <w:lang w:val="en-US" w:eastAsia="zh-CN"/>
        </w:rPr>
        <w:t>) System Maintenance Check Record Form</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_Toc136506076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83</w:t>
      </w:r>
      <w:r>
        <w:rPr>
          <w:rFonts w:hint="default" w:ascii="Times New Roman" w:hAnsi="Times New Roman" w:cs="Times New Roman"/>
          <w:b/>
          <w:bCs/>
          <w:highlight w:val="none"/>
        </w:rPr>
        <w:fldChar w:fldCharType="end"/>
      </w:r>
      <w:r>
        <w:rPr>
          <w:rFonts w:hint="default" w:ascii="Times New Roman" w:hAnsi="Times New Roman" w:cs="Times New Roman"/>
          <w:b/>
          <w:bCs/>
          <w:highlight w:val="none"/>
        </w:rPr>
        <w:fldChar w:fldCharType="end"/>
      </w:r>
    </w:p>
    <w:p>
      <w:pPr>
        <w:pStyle w:val="17"/>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eastAsiaTheme="minorEastAsia"/>
          <w:b/>
          <w:bCs/>
          <w:sz w:val="21"/>
          <w:highlight w:val="none"/>
        </w:rPr>
      </w:pP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HYPERLINK \l "_Toc136506077" </w:instrText>
      </w:r>
      <w:r>
        <w:rPr>
          <w:rFonts w:hint="default" w:ascii="Times New Roman" w:hAnsi="Times New Roman" w:cs="Times New Roman"/>
          <w:b/>
          <w:bCs/>
          <w:highlight w:val="none"/>
        </w:rPr>
        <w:fldChar w:fldCharType="separate"/>
      </w:r>
      <w:r>
        <w:rPr>
          <w:rFonts w:hint="default" w:ascii="Times New Roman" w:hAnsi="Times New Roman" w:cs="Times New Roman"/>
          <w:b/>
          <w:bCs/>
          <w:sz w:val="22"/>
          <w:szCs w:val="22"/>
          <w:highlight w:val="none"/>
        </w:rPr>
        <w:t xml:space="preserve">Explanation of Wording in This </w:t>
      </w:r>
      <w:r>
        <w:rPr>
          <w:rFonts w:hint="default" w:ascii="Times New Roman" w:hAnsi="Times New Roman" w:cs="Times New Roman"/>
          <w:b/>
          <w:bCs/>
          <w:sz w:val="22"/>
          <w:szCs w:val="22"/>
          <w:highlight w:val="none"/>
          <w:lang w:val="en-US" w:eastAsia="zh-CN"/>
        </w:rPr>
        <w:t>Code</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_Toc136506077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92</w:t>
      </w:r>
      <w:r>
        <w:rPr>
          <w:rFonts w:hint="default" w:ascii="Times New Roman" w:hAnsi="Times New Roman" w:cs="Times New Roman"/>
          <w:b/>
          <w:bCs/>
          <w:highlight w:val="none"/>
        </w:rPr>
        <w:fldChar w:fldCharType="end"/>
      </w:r>
      <w:r>
        <w:rPr>
          <w:rFonts w:hint="default" w:ascii="Times New Roman" w:hAnsi="Times New Roman" w:cs="Times New Roman"/>
          <w:b/>
          <w:bCs/>
          <w:highlight w:val="none"/>
        </w:rPr>
        <w:fldChar w:fldCharType="end"/>
      </w:r>
    </w:p>
    <w:p>
      <w:pPr>
        <w:pStyle w:val="17"/>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eastAsiaTheme="minorEastAsia"/>
          <w:b/>
          <w:bCs/>
          <w:sz w:val="21"/>
          <w:highlight w:val="none"/>
        </w:rPr>
      </w:pP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HYPERLINK \l "_Toc136506078" </w:instrText>
      </w:r>
      <w:r>
        <w:rPr>
          <w:rFonts w:hint="default" w:ascii="Times New Roman" w:hAnsi="Times New Roman" w:cs="Times New Roman"/>
          <w:b/>
          <w:bCs/>
          <w:highlight w:val="none"/>
        </w:rPr>
        <w:fldChar w:fldCharType="separate"/>
      </w:r>
      <w:r>
        <w:rPr>
          <w:rFonts w:hint="default" w:ascii="Times New Roman" w:hAnsi="Times New Roman" w:cs="Times New Roman"/>
          <w:b/>
          <w:bCs/>
          <w:sz w:val="22"/>
          <w:szCs w:val="22"/>
          <w:highlight w:val="none"/>
        </w:rPr>
        <w:t xml:space="preserve">List of </w:t>
      </w:r>
      <w:r>
        <w:rPr>
          <w:rFonts w:hint="default" w:ascii="Times New Roman" w:hAnsi="Times New Roman" w:cs="Times New Roman"/>
          <w:b/>
          <w:bCs/>
          <w:sz w:val="22"/>
          <w:szCs w:val="22"/>
          <w:highlight w:val="none"/>
          <w:lang w:val="en-US" w:eastAsia="zh-CN"/>
        </w:rPr>
        <w:t>Quoted</w:t>
      </w:r>
      <w:r>
        <w:rPr>
          <w:rFonts w:hint="default" w:ascii="Times New Roman" w:hAnsi="Times New Roman" w:cs="Times New Roman"/>
          <w:b/>
          <w:bCs/>
          <w:sz w:val="22"/>
          <w:szCs w:val="22"/>
          <w:highlight w:val="none"/>
        </w:rPr>
        <w:t xml:space="preserve"> Standards</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_Toc136506078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93</w:t>
      </w:r>
      <w:r>
        <w:rPr>
          <w:rFonts w:hint="default" w:ascii="Times New Roman" w:hAnsi="Times New Roman" w:cs="Times New Roman"/>
          <w:b/>
          <w:bCs/>
          <w:highlight w:val="none"/>
        </w:rPr>
        <w:fldChar w:fldCharType="end"/>
      </w:r>
      <w:r>
        <w:rPr>
          <w:rFonts w:hint="default" w:ascii="Times New Roman" w:hAnsi="Times New Roman" w:cs="Times New Roman"/>
          <w:b/>
          <w:bCs/>
          <w:highlight w:val="none"/>
        </w:rPr>
        <w:fldChar w:fldCharType="end"/>
      </w:r>
    </w:p>
    <w:p>
      <w:pPr>
        <w:widowControl/>
        <w:spacing w:line="240" w:lineRule="auto"/>
        <w:ind w:firstLine="0" w:firstLineChars="0"/>
        <w:jc w:val="left"/>
        <w:sectPr>
          <w:footerReference r:id="rId12" w:type="default"/>
          <w:pgSz w:w="11906" w:h="16838"/>
          <w:pgMar w:top="1440" w:right="1800" w:bottom="1440" w:left="1800" w:header="851" w:footer="992" w:gutter="0"/>
          <w:pgNumType w:start="1"/>
          <w:cols w:space="425" w:num="1"/>
          <w:docGrid w:type="lines" w:linePitch="312" w:charSpace="0"/>
        </w:sectPr>
      </w:pP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HYPERLINK \l "_Toc136506079" </w:instrText>
      </w:r>
      <w:r>
        <w:rPr>
          <w:rFonts w:hint="default" w:ascii="Times New Roman" w:hAnsi="Times New Roman" w:cs="Times New Roman"/>
          <w:b/>
          <w:bCs/>
          <w:highlight w:val="none"/>
        </w:rPr>
        <w:fldChar w:fldCharType="separate"/>
      </w:r>
      <w:bookmarkStart w:id="14" w:name="OLE_LINK94"/>
      <w:bookmarkStart w:id="15" w:name="OLE_LINK93"/>
      <w:r>
        <w:rPr>
          <w:rFonts w:hint="default" w:ascii="Times New Roman" w:hAnsi="Times New Roman" w:cs="Times New Roman"/>
          <w:b/>
          <w:bCs/>
          <w:sz w:val="22"/>
          <w:szCs w:val="22"/>
          <w:highlight w:val="none"/>
        </w:rPr>
        <w:t>Explanation of</w:t>
      </w:r>
      <w:bookmarkEnd w:id="14"/>
      <w:bookmarkEnd w:id="15"/>
      <w:r>
        <w:rPr>
          <w:rFonts w:hint="default" w:ascii="Times New Roman" w:hAnsi="Times New Roman" w:cs="Times New Roman"/>
          <w:b/>
          <w:bCs/>
          <w:sz w:val="22"/>
          <w:szCs w:val="22"/>
          <w:highlight w:val="none"/>
        </w:rPr>
        <w:t xml:space="preserve"> Provisions</w:t>
      </w:r>
      <w:r>
        <w:rPr>
          <w:rFonts w:hint="default" w:ascii="Times New Roman" w:hAnsi="Times New Roman" w:cs="Times New Roman"/>
          <w:b/>
          <w:bCs/>
          <w:highlight w:val="none"/>
        </w:rPr>
        <w:tab/>
      </w:r>
      <w:r>
        <w:rPr>
          <w:rFonts w:hint="default" w:ascii="Times New Roman" w:hAnsi="Times New Roman" w:cs="Times New Roman"/>
          <w:b/>
          <w:bCs/>
          <w:highlight w:val="none"/>
        </w:rPr>
        <w:fldChar w:fldCharType="begin"/>
      </w:r>
      <w:r>
        <w:rPr>
          <w:rFonts w:hint="default" w:ascii="Times New Roman" w:hAnsi="Times New Roman" w:cs="Times New Roman"/>
          <w:b/>
          <w:bCs/>
          <w:highlight w:val="none"/>
        </w:rPr>
        <w:instrText xml:space="preserve"> PAGEREF _Toc136506079 \h </w:instrText>
      </w:r>
      <w:r>
        <w:rPr>
          <w:rFonts w:hint="default" w:ascii="Times New Roman" w:hAnsi="Times New Roman" w:cs="Times New Roman"/>
          <w:b/>
          <w:bCs/>
          <w:highlight w:val="none"/>
        </w:rPr>
        <w:fldChar w:fldCharType="separate"/>
      </w:r>
      <w:r>
        <w:rPr>
          <w:rFonts w:hint="default" w:ascii="Times New Roman" w:hAnsi="Times New Roman" w:cs="Times New Roman"/>
          <w:b/>
          <w:bCs/>
          <w:highlight w:val="none"/>
        </w:rPr>
        <w:t>94</w:t>
      </w:r>
      <w:r>
        <w:rPr>
          <w:rFonts w:hint="default" w:ascii="Times New Roman" w:hAnsi="Times New Roman" w:cs="Times New Roman"/>
          <w:b/>
          <w:bCs/>
          <w:highlight w:val="none"/>
        </w:rPr>
        <w:fldChar w:fldCharType="end"/>
      </w:r>
      <w:r>
        <w:rPr>
          <w:rFonts w:hint="default" w:ascii="Times New Roman" w:hAnsi="Times New Roman" w:cs="Times New Roman"/>
          <w:b/>
          <w:bCs/>
          <w:highlight w:val="none"/>
        </w:rPr>
        <w:fldChar w:fldCharType="end"/>
      </w:r>
      <w:r>
        <w:rPr>
          <w:rFonts w:hint="default" w:ascii="Times New Roman" w:hAnsi="Times New Roman" w:cs="Times New Roman"/>
        </w:rPr>
        <w:fldChar w:fldCharType="end"/>
      </w:r>
      <w:bookmarkEnd w:id="12"/>
    </w:p>
    <w:p>
      <w:pPr>
        <w:pStyle w:val="2"/>
        <w:spacing w:after="312"/>
      </w:pPr>
      <w:bookmarkStart w:id="16" w:name="_Toc136506053"/>
      <w:r>
        <w:rPr>
          <w:rFonts w:hint="eastAsia"/>
        </w:rPr>
        <w:t>总　则</w:t>
      </w:r>
      <w:bookmarkEnd w:id="16"/>
    </w:p>
    <w:p>
      <w:pPr>
        <w:pStyle w:val="40"/>
        <w:numPr>
          <w:ilvl w:val="2"/>
          <w:numId w:val="3"/>
        </w:numPr>
        <w:spacing w:line="360" w:lineRule="auto"/>
        <w:ind w:firstLineChars="0"/>
      </w:pPr>
      <w:r>
        <w:rPr>
          <w:rFonts w:hint="eastAsia"/>
        </w:rPr>
        <w:t>为规范桥梁健康监测系统的设计、建设和运维，保障系统软硬件的持续稳定运行，做到设计合理、技术可靠、经济适用，制定本规程。</w:t>
      </w:r>
    </w:p>
    <w:p>
      <w:pPr>
        <w:pStyle w:val="40"/>
        <w:numPr>
          <w:ilvl w:val="2"/>
          <w:numId w:val="3"/>
        </w:numPr>
        <w:spacing w:line="360" w:lineRule="auto"/>
        <w:ind w:firstLineChars="0"/>
      </w:pPr>
      <w:r>
        <w:rPr>
          <w:rFonts w:hint="eastAsia"/>
        </w:rPr>
        <w:t>本规程适用于云南省的城市桥梁健康监测的系统设计、实施、验收、运营维护、数据管理和监测应用。</w:t>
      </w:r>
    </w:p>
    <w:p>
      <w:pPr>
        <w:pStyle w:val="40"/>
        <w:numPr>
          <w:ilvl w:val="2"/>
          <w:numId w:val="3"/>
        </w:numPr>
        <w:spacing w:line="360" w:lineRule="auto"/>
        <w:ind w:firstLineChars="0"/>
      </w:pPr>
      <w:r>
        <w:rPr>
          <w:rFonts w:hint="eastAsia"/>
        </w:rPr>
        <w:t>城市桥梁结构的监测，除应符合本规程的规定外，尚应符合国家现行有关规范、标准的规定。</w:t>
      </w:r>
    </w:p>
    <w:p>
      <w:pPr>
        <w:ind w:firstLine="0" w:firstLineChars="0"/>
      </w:pPr>
    </w:p>
    <w:p>
      <w:pPr>
        <w:ind w:firstLine="0" w:firstLineChars="0"/>
        <w:sectPr>
          <w:footerReference r:id="rId13" w:type="default"/>
          <w:pgSz w:w="11906" w:h="16838"/>
          <w:pgMar w:top="1440" w:right="1800" w:bottom="1440" w:left="1800" w:header="851" w:footer="992" w:gutter="0"/>
          <w:pgNumType w:start="1"/>
          <w:cols w:space="425" w:num="1"/>
          <w:docGrid w:type="lines" w:linePitch="312" w:charSpace="0"/>
        </w:sectPr>
      </w:pPr>
    </w:p>
    <w:p>
      <w:pPr>
        <w:pStyle w:val="2"/>
        <w:spacing w:after="312"/>
      </w:pPr>
      <w:bookmarkStart w:id="17" w:name="_Toc136506054"/>
      <w:r>
        <w:rPr>
          <w:rFonts w:hint="eastAsia"/>
        </w:rPr>
        <w:t>术语</w:t>
      </w:r>
      <w:bookmarkEnd w:id="17"/>
    </w:p>
    <w:p>
      <w:pPr>
        <w:pStyle w:val="40"/>
        <w:numPr>
          <w:ilvl w:val="0"/>
          <w:numId w:val="3"/>
        </w:numPr>
        <w:ind w:firstLineChars="0"/>
        <w:rPr>
          <w:vanish/>
        </w:rPr>
      </w:pPr>
    </w:p>
    <w:p>
      <w:pPr>
        <w:pStyle w:val="40"/>
        <w:numPr>
          <w:ilvl w:val="1"/>
          <w:numId w:val="3"/>
        </w:numPr>
        <w:ind w:firstLineChars="0"/>
        <w:rPr>
          <w:vanish/>
        </w:rPr>
      </w:pPr>
    </w:p>
    <w:p>
      <w:pPr>
        <w:pStyle w:val="40"/>
        <w:numPr>
          <w:ilvl w:val="2"/>
          <w:numId w:val="3"/>
        </w:numPr>
        <w:spacing w:line="360" w:lineRule="auto"/>
        <w:ind w:firstLineChars="0"/>
      </w:pPr>
      <w:r>
        <w:rPr>
          <w:rFonts w:hint="eastAsia"/>
          <w:szCs w:val="24"/>
        </w:rPr>
        <w:t xml:space="preserve"> 桥梁健康监测系统</w:t>
      </w:r>
      <w:r>
        <w:rPr>
          <w:rFonts w:hint="eastAsia"/>
          <w:szCs w:val="24"/>
          <w:lang w:val="en-US" w:eastAsia="zh-CN"/>
        </w:rPr>
        <w:t xml:space="preserve"> </w:t>
      </w:r>
      <w:r>
        <w:rPr>
          <w:rFonts w:hint="eastAsia"/>
          <w:szCs w:val="24"/>
          <w:highlight w:val="none"/>
          <w:lang w:val="en-US" w:eastAsia="zh-CN"/>
        </w:rPr>
        <w:t>b</w:t>
      </w:r>
      <w:r>
        <w:rPr>
          <w:szCs w:val="24"/>
          <w:highlight w:val="none"/>
        </w:rPr>
        <w:t xml:space="preserve">ridge </w:t>
      </w:r>
      <w:r>
        <w:rPr>
          <w:rFonts w:hint="eastAsia"/>
          <w:szCs w:val="24"/>
          <w:highlight w:val="none"/>
          <w:lang w:val="en-US" w:eastAsia="zh-CN"/>
        </w:rPr>
        <w:t>hazard</w:t>
      </w:r>
      <w:r>
        <w:rPr>
          <w:szCs w:val="24"/>
          <w:highlight w:val="none"/>
        </w:rPr>
        <w:t xml:space="preserve"> monitoring system</w:t>
      </w:r>
    </w:p>
    <w:p>
      <w:pPr>
        <w:spacing w:line="360" w:lineRule="auto"/>
        <w:ind w:firstLine="480"/>
      </w:pPr>
      <w:r>
        <w:rPr>
          <w:rFonts w:hint="eastAsia"/>
        </w:rPr>
        <w:t>以评价桥梁健康状态为目的所建立的监测系统总称，包括信息化监测系统、数字化监测系统和智慧化监测系统等。</w:t>
      </w:r>
    </w:p>
    <w:p>
      <w:pPr>
        <w:pStyle w:val="40"/>
        <w:numPr>
          <w:ilvl w:val="2"/>
          <w:numId w:val="3"/>
        </w:numPr>
        <w:spacing w:line="360" w:lineRule="auto"/>
        <w:ind w:firstLineChars="0"/>
      </w:pPr>
      <w:r>
        <w:rPr>
          <w:rFonts w:hint="eastAsia"/>
          <w:szCs w:val="24"/>
        </w:rPr>
        <w:t>信息化监测系统</w:t>
      </w:r>
      <w:r>
        <w:rPr>
          <w:rFonts w:hint="eastAsia"/>
          <w:szCs w:val="24"/>
          <w:lang w:val="en-US" w:eastAsia="zh-CN"/>
        </w:rPr>
        <w:t xml:space="preserve"> </w:t>
      </w:r>
      <w:r>
        <w:rPr>
          <w:rFonts w:hint="eastAsia"/>
          <w:szCs w:val="24"/>
          <w:highlight w:val="none"/>
          <w:lang w:val="en-US" w:eastAsia="zh-CN"/>
        </w:rPr>
        <w:t>i</w:t>
      </w:r>
      <w:r>
        <w:rPr>
          <w:szCs w:val="24"/>
          <w:highlight w:val="none"/>
        </w:rPr>
        <w:t>nformation monitoring system</w:t>
      </w:r>
    </w:p>
    <w:p>
      <w:pPr>
        <w:spacing w:line="360" w:lineRule="auto"/>
        <w:ind w:firstLine="480"/>
      </w:pPr>
      <w:r>
        <w:rPr>
          <w:rFonts w:hint="eastAsia"/>
        </w:rPr>
        <w:t>运用计算机网络系统、监测桥梁结构体上安装的传感器系统和数据采集系统，实现桥梁环境、作用、结构响应与结构变化定量数据采集、传输、存储和展示的电子信息系统。其中，设置监测项超限阈值进行超限预警功能和实现物理世界映射到模型空间进行数据管理的系统属于信息化系统。</w:t>
      </w:r>
    </w:p>
    <w:p>
      <w:pPr>
        <w:pStyle w:val="40"/>
        <w:numPr>
          <w:ilvl w:val="2"/>
          <w:numId w:val="3"/>
        </w:numPr>
        <w:spacing w:line="360" w:lineRule="auto"/>
        <w:ind w:firstLineChars="0"/>
      </w:pPr>
      <w:r>
        <w:rPr>
          <w:rFonts w:hint="eastAsia"/>
          <w:szCs w:val="24"/>
        </w:rPr>
        <w:t>数字化监测系统</w:t>
      </w:r>
      <w:r>
        <w:rPr>
          <w:rFonts w:hint="eastAsia"/>
          <w:szCs w:val="24"/>
          <w:lang w:val="en-US" w:eastAsia="zh-CN"/>
        </w:rPr>
        <w:t xml:space="preserve"> </w:t>
      </w:r>
      <w:r>
        <w:rPr>
          <w:rFonts w:hint="eastAsia"/>
          <w:szCs w:val="24"/>
          <w:highlight w:val="none"/>
          <w:lang w:val="en-US" w:eastAsia="zh-CN"/>
        </w:rPr>
        <w:t>d</w:t>
      </w:r>
      <w:r>
        <w:rPr>
          <w:szCs w:val="24"/>
          <w:highlight w:val="none"/>
        </w:rPr>
        <w:t>igital monitoring system</w:t>
      </w:r>
    </w:p>
    <w:p>
      <w:pPr>
        <w:spacing w:line="360" w:lineRule="auto"/>
        <w:ind w:firstLine="480"/>
      </w:pPr>
      <w:r>
        <w:t>基于信息化监测系统，实现监测数据与结构力学模型融合应用的电子信息系统。数字化系统明显特征是通过监测时间节点或时间段的监测数据得出对应的力学分析结果输出，输出结果可以进行结构损伤识别和结构承载力评定。</w:t>
      </w:r>
    </w:p>
    <w:p>
      <w:pPr>
        <w:pStyle w:val="40"/>
        <w:numPr>
          <w:ilvl w:val="2"/>
          <w:numId w:val="3"/>
        </w:numPr>
        <w:spacing w:line="360" w:lineRule="auto"/>
        <w:ind w:firstLineChars="0"/>
      </w:pPr>
      <w:r>
        <w:rPr>
          <w:rFonts w:hint="eastAsia"/>
          <w:szCs w:val="24"/>
        </w:rPr>
        <w:t>智能化监测系统</w:t>
      </w:r>
      <w:r>
        <w:rPr>
          <w:rFonts w:hint="eastAsia"/>
          <w:szCs w:val="24"/>
          <w:lang w:val="en-US" w:eastAsia="zh-CN"/>
        </w:rPr>
        <w:t xml:space="preserve"> </w:t>
      </w:r>
      <w:r>
        <w:rPr>
          <w:rFonts w:hint="eastAsia"/>
          <w:szCs w:val="24"/>
          <w:highlight w:val="none"/>
          <w:lang w:val="en-US" w:eastAsia="zh-CN"/>
        </w:rPr>
        <w:t>i</w:t>
      </w:r>
      <w:r>
        <w:rPr>
          <w:szCs w:val="24"/>
          <w:highlight w:val="none"/>
        </w:rPr>
        <w:t>ntelligent monitoring system</w:t>
      </w:r>
    </w:p>
    <w:p>
      <w:pPr>
        <w:spacing w:line="360" w:lineRule="auto"/>
        <w:ind w:firstLine="480"/>
      </w:pPr>
      <w:r>
        <w:t>基于数字化监测系统，运用大数据、云计算和机器学习等人工智能技术，</w:t>
      </w:r>
      <w:r>
        <w:rPr>
          <w:rFonts w:hint="eastAsia"/>
        </w:rPr>
        <w:t>实现对特定桥梁、系统内同一类型桥梁或系统内所有桥梁的结构问题特征提取分析</w:t>
      </w:r>
      <w:r>
        <w:t>，并根据结构存在的问题和趋势对结构损伤与寿命演化做出预测，智能提出结构养护和加固施工的最优解决方案与管理决策建议等集成性的具有一定人工智能特性的电子信息系统。</w:t>
      </w:r>
    </w:p>
    <w:p>
      <w:pPr>
        <w:pStyle w:val="40"/>
        <w:numPr>
          <w:ilvl w:val="2"/>
          <w:numId w:val="3"/>
        </w:numPr>
        <w:spacing w:line="360" w:lineRule="auto"/>
        <w:ind w:firstLineChars="0"/>
      </w:pPr>
      <w:r>
        <w:rPr>
          <w:rFonts w:hint="eastAsia"/>
          <w:szCs w:val="24"/>
        </w:rPr>
        <w:t>传感器</w:t>
      </w:r>
      <w:r>
        <w:rPr>
          <w:rFonts w:hint="eastAsia"/>
          <w:szCs w:val="24"/>
          <w:lang w:val="en-US" w:eastAsia="zh-CN"/>
        </w:rPr>
        <w:t xml:space="preserve"> </w:t>
      </w:r>
      <w:r>
        <w:rPr>
          <w:rFonts w:hint="eastAsia"/>
          <w:szCs w:val="24"/>
          <w:highlight w:val="none"/>
          <w:lang w:val="en-US" w:eastAsia="zh-CN"/>
        </w:rPr>
        <w:t>s</w:t>
      </w:r>
      <w:r>
        <w:rPr>
          <w:szCs w:val="24"/>
          <w:highlight w:val="none"/>
        </w:rPr>
        <w:t>ensor</w:t>
      </w:r>
    </w:p>
    <w:p>
      <w:pPr>
        <w:spacing w:line="360" w:lineRule="auto"/>
        <w:ind w:firstLine="480"/>
      </w:pPr>
      <w:r>
        <w:rPr>
          <w:rFonts w:hint="eastAsia"/>
        </w:rPr>
        <w:t>能够感知并转换测量对象某种物理量或化学量的物理设备或装置。通过将这些物理量或化学量转换为电信号，传感器能够将其发送到其他设备或系统进行处理和分析。在桥梁健康监测系统中，传感器通常被用来监测桥梁结构的振动、应力、应变、温度、湿度等参数，以便及时检测出潜在损伤或故障。</w:t>
      </w:r>
    </w:p>
    <w:p>
      <w:pPr>
        <w:pStyle w:val="40"/>
        <w:numPr>
          <w:ilvl w:val="2"/>
          <w:numId w:val="3"/>
        </w:numPr>
        <w:spacing w:line="360" w:lineRule="auto"/>
        <w:ind w:firstLineChars="0"/>
      </w:pPr>
      <w:r>
        <w:rPr>
          <w:rFonts w:hint="eastAsia"/>
          <w:szCs w:val="24"/>
        </w:rPr>
        <w:t>数采设备</w:t>
      </w:r>
      <w:r>
        <w:rPr>
          <w:rFonts w:hint="eastAsia"/>
          <w:szCs w:val="24"/>
          <w:lang w:val="en-US" w:eastAsia="zh-CN"/>
        </w:rPr>
        <w:t xml:space="preserve"> </w:t>
      </w:r>
      <w:r>
        <w:rPr>
          <w:rFonts w:hint="eastAsia"/>
          <w:szCs w:val="24"/>
          <w:highlight w:val="none"/>
          <w:lang w:val="en-US" w:eastAsia="zh-CN"/>
        </w:rPr>
        <w:t>d</w:t>
      </w:r>
      <w:r>
        <w:rPr>
          <w:szCs w:val="24"/>
          <w:highlight w:val="none"/>
        </w:rPr>
        <w:t>ata acquisition equipment</w:t>
      </w:r>
    </w:p>
    <w:p>
      <w:pPr>
        <w:spacing w:line="360" w:lineRule="auto"/>
        <w:ind w:firstLine="480"/>
      </w:pPr>
      <w:r>
        <w:rPr>
          <w:rFonts w:hint="eastAsia"/>
        </w:rPr>
        <w:t>在监测点安装的，用于采集和传输监测数据的设备。数采设备能够通过传感器获取桥梁结构的实时监测数据，将这些数据进行处理和分析，并将其传输到监测中心或数据存储服务器上，供工程师和技术人员进行分析和处理，以评估桥梁结构的健康状况。数采设备通常包括数据采集器、传感器、通信模块等组成部分。</w:t>
      </w:r>
    </w:p>
    <w:p>
      <w:pPr>
        <w:pStyle w:val="40"/>
        <w:numPr>
          <w:ilvl w:val="2"/>
          <w:numId w:val="3"/>
        </w:numPr>
        <w:spacing w:line="360" w:lineRule="auto"/>
        <w:ind w:firstLineChars="0"/>
      </w:pPr>
      <w:r>
        <w:rPr>
          <w:rFonts w:hint="eastAsia"/>
          <w:szCs w:val="24"/>
        </w:rPr>
        <w:t>传输设备</w:t>
      </w:r>
      <w:r>
        <w:rPr>
          <w:rFonts w:hint="eastAsia"/>
          <w:szCs w:val="24"/>
          <w:lang w:val="en-US" w:eastAsia="zh-CN"/>
        </w:rPr>
        <w:t xml:space="preserve"> </w:t>
      </w:r>
      <w:r>
        <w:rPr>
          <w:rFonts w:hint="eastAsia"/>
          <w:szCs w:val="24"/>
          <w:highlight w:val="none"/>
          <w:lang w:val="en-US" w:eastAsia="zh-CN"/>
        </w:rPr>
        <w:t>t</w:t>
      </w:r>
      <w:r>
        <w:rPr>
          <w:szCs w:val="24"/>
          <w:highlight w:val="none"/>
        </w:rPr>
        <w:t>ransmission equipment</w:t>
      </w:r>
    </w:p>
    <w:p>
      <w:pPr>
        <w:spacing w:line="360" w:lineRule="auto"/>
        <w:ind w:firstLine="480"/>
      </w:pPr>
      <w:r>
        <w:rPr>
          <w:rFonts w:hint="eastAsia"/>
        </w:rPr>
        <w:t>用于将数据从数采设备或其他监测设备传输到计算机或其他数据处理设备的硬件设备。传输设备可以使用有线或无线技术进行数据传输，例如以太网、无线局域网、GPRS以及4G等。在桥梁健康监测系统中，传输设备需确保实时监测数据能够及时准确地传输到数据处理系统中进行处理和分析。</w:t>
      </w:r>
    </w:p>
    <w:p>
      <w:pPr>
        <w:pStyle w:val="40"/>
        <w:numPr>
          <w:ilvl w:val="2"/>
          <w:numId w:val="3"/>
        </w:numPr>
        <w:spacing w:line="360" w:lineRule="auto"/>
        <w:ind w:firstLineChars="0"/>
      </w:pPr>
      <w:r>
        <w:rPr>
          <w:rFonts w:hint="eastAsia"/>
          <w:szCs w:val="24"/>
        </w:rPr>
        <w:t>采集机柜</w:t>
      </w:r>
      <w:r>
        <w:rPr>
          <w:rFonts w:hint="eastAsia"/>
          <w:szCs w:val="24"/>
          <w:lang w:val="en-US" w:eastAsia="zh-CN"/>
        </w:rPr>
        <w:t xml:space="preserve"> </w:t>
      </w:r>
      <w:r>
        <w:rPr>
          <w:rFonts w:hint="eastAsia"/>
          <w:szCs w:val="24"/>
          <w:highlight w:val="none"/>
          <w:lang w:val="en-US" w:eastAsia="zh-CN"/>
        </w:rPr>
        <w:t>a</w:t>
      </w:r>
      <w:r>
        <w:rPr>
          <w:szCs w:val="24"/>
          <w:highlight w:val="none"/>
        </w:rPr>
        <w:t>cquisition cabinet</w:t>
      </w:r>
    </w:p>
    <w:p>
      <w:pPr>
        <w:spacing w:line="360" w:lineRule="auto"/>
        <w:ind w:firstLine="480"/>
      </w:pPr>
      <w:r>
        <w:rPr>
          <w:rFonts w:hint="eastAsia"/>
        </w:rPr>
        <w:t>专门用于桥梁健康监测系统中的数据采集和控制设备。采集机柜通常由数采设备、传输设备、数据存储设备、控制器、电源等组成，并集成在一个机柜内。采集机柜通常需要满足防水、防尘、防腐等环境要求，以适应复杂的野外环境。采集机柜可以通过有线或无线方式连接到传感器和其他监测设备，采集并处理传感器测量到的桥梁结构响应数据。采集机柜可实现数据存储、实时分析、数据传输、报警等功能，将采集到的数据传输给监测软件或其他设备进行处理和分析。</w:t>
      </w:r>
    </w:p>
    <w:p>
      <w:pPr>
        <w:pStyle w:val="40"/>
        <w:numPr>
          <w:ilvl w:val="2"/>
          <w:numId w:val="3"/>
        </w:numPr>
        <w:spacing w:line="360" w:lineRule="auto"/>
        <w:ind w:firstLineChars="0"/>
      </w:pPr>
      <w:r>
        <w:rPr>
          <w:rFonts w:hint="eastAsia"/>
          <w:szCs w:val="24"/>
        </w:rPr>
        <w:t>平均无故障工作时间（MTBF）</w:t>
      </w:r>
      <w:r>
        <w:rPr>
          <w:rFonts w:hint="eastAsia"/>
          <w:szCs w:val="24"/>
          <w:lang w:val="en-US" w:eastAsia="zh-CN"/>
        </w:rPr>
        <w:t xml:space="preserve">  mean time between failures (MTBF)</w:t>
      </w:r>
    </w:p>
    <w:p>
      <w:pPr>
        <w:spacing w:line="360" w:lineRule="auto"/>
        <w:ind w:firstLine="480"/>
      </w:pPr>
      <w:r>
        <w:rPr>
          <w:rFonts w:hint="eastAsia"/>
        </w:rPr>
        <w:t>在特定条件下，设备或系统运行一段时间内平均无故障的时间，以用于评估设备或系统的可靠性和稳定性。可以通过对设备或系统历史故障数据进行分析和统计得出，通常用小时数来表示。较高的MTBF值意味着设备或系统较为可靠，故障率较低，同时也表明设备或系统的设计和制造质量较高。在桥梁健康监测系统中，MTBF可以用于评估各种设备的可靠性和性能，以便选择最合适的设备并优化系统运行效率。</w:t>
      </w:r>
    </w:p>
    <w:p>
      <w:pPr>
        <w:pStyle w:val="40"/>
        <w:numPr>
          <w:ilvl w:val="2"/>
          <w:numId w:val="3"/>
        </w:numPr>
        <w:spacing w:line="360" w:lineRule="auto"/>
        <w:ind w:firstLineChars="0"/>
      </w:pPr>
      <w:r>
        <w:rPr>
          <w:rFonts w:hint="eastAsia"/>
          <w:szCs w:val="24"/>
        </w:rPr>
        <w:t>数据缺失率</w:t>
      </w:r>
      <w:r>
        <w:rPr>
          <w:rFonts w:hint="eastAsia"/>
          <w:szCs w:val="24"/>
          <w:lang w:val="en-US" w:eastAsia="zh-CN"/>
        </w:rPr>
        <w:t xml:space="preserve"> </w:t>
      </w:r>
      <w:r>
        <w:rPr>
          <w:rFonts w:hint="eastAsia"/>
          <w:szCs w:val="24"/>
          <w:highlight w:val="none"/>
          <w:lang w:val="en-US" w:eastAsia="zh-CN"/>
        </w:rPr>
        <w:t>d</w:t>
      </w:r>
      <w:r>
        <w:rPr>
          <w:szCs w:val="24"/>
          <w:highlight w:val="none"/>
        </w:rPr>
        <w:t xml:space="preserve">ata </w:t>
      </w:r>
      <w:r>
        <w:rPr>
          <w:rFonts w:hint="eastAsia"/>
          <w:szCs w:val="24"/>
          <w:highlight w:val="none"/>
          <w:lang w:val="en-US" w:eastAsia="zh-CN"/>
        </w:rPr>
        <w:t xml:space="preserve">missing </w:t>
      </w:r>
      <w:r>
        <w:rPr>
          <w:szCs w:val="24"/>
          <w:highlight w:val="none"/>
        </w:rPr>
        <w:t>rate</w:t>
      </w:r>
    </w:p>
    <w:p>
      <w:pPr>
        <w:spacing w:line="360" w:lineRule="auto"/>
        <w:ind w:firstLine="480"/>
      </w:pPr>
      <w:r>
        <w:rPr>
          <w:rFonts w:hint="eastAsia"/>
        </w:rPr>
        <w:t>在数据采集过程中，由于传感器故障、信号传输中断、数据传输失败等原因导致数据未能正常采集的比例。数据缺失率通常用百分比来表示，是评估监测系统数据完整性和准确性的一个重要指标。在桥梁健康监测系统中，数据缺失率较高可能会影响监测数据的分析和准确性，从而对桥梁的健康状况评估产生负面影响。</w:t>
      </w:r>
    </w:p>
    <w:p>
      <w:pPr>
        <w:pStyle w:val="40"/>
        <w:numPr>
          <w:ilvl w:val="2"/>
          <w:numId w:val="3"/>
        </w:numPr>
        <w:spacing w:line="360" w:lineRule="auto"/>
        <w:ind w:firstLineChars="0"/>
      </w:pPr>
      <w:r>
        <w:rPr>
          <w:rFonts w:hint="eastAsia"/>
          <w:szCs w:val="24"/>
        </w:rPr>
        <w:t>软件部署</w:t>
      </w:r>
      <w:r>
        <w:rPr>
          <w:rFonts w:hint="eastAsia"/>
          <w:szCs w:val="24"/>
          <w:lang w:val="en-US" w:eastAsia="zh-CN"/>
        </w:rPr>
        <w:t xml:space="preserve"> </w:t>
      </w:r>
      <w:r>
        <w:rPr>
          <w:rFonts w:hint="eastAsia"/>
          <w:szCs w:val="24"/>
          <w:highlight w:val="none"/>
          <w:lang w:val="en-US" w:eastAsia="zh-CN"/>
        </w:rPr>
        <w:t>s</w:t>
      </w:r>
      <w:r>
        <w:rPr>
          <w:szCs w:val="24"/>
          <w:highlight w:val="none"/>
        </w:rPr>
        <w:t>oftware deployment</w:t>
      </w:r>
    </w:p>
    <w:p>
      <w:pPr>
        <w:spacing w:line="360" w:lineRule="auto"/>
        <w:ind w:firstLine="480"/>
      </w:pPr>
      <w:r>
        <w:rPr>
          <w:rFonts w:hint="eastAsia"/>
        </w:rPr>
        <w:t>将开发好的软件应用程序或系统，在目标计算机、服务器或设备上进行安装和配置，以使其能够运行和发挥作用的过程。软件部署涉及将软件代码、配置文件和依赖项等内容部署到指定的硬件设备或云平台上，并确保其能够正确地运行和集成到目标环境中。在桥梁健康监测系统中，软件部署是指将监测软件应用程序部署到采集机柜、数据存储设备等目标设备上，以实现桥梁监测系统的数据采集、存储和分析功能。软件部署需要进行严格的测试和验证，确保软件的稳定性和性能，同时需要考虑到目标设备的硬件环境和网络条件等因素，以确保软件能够正确地运行和与其他设备和系统进行通信。</w:t>
      </w:r>
    </w:p>
    <w:p>
      <w:pPr>
        <w:pStyle w:val="40"/>
        <w:numPr>
          <w:ilvl w:val="2"/>
          <w:numId w:val="3"/>
        </w:numPr>
        <w:spacing w:line="360" w:lineRule="auto"/>
        <w:ind w:firstLineChars="0"/>
      </w:pPr>
      <w:r>
        <w:rPr>
          <w:rFonts w:hint="eastAsia"/>
          <w:szCs w:val="24"/>
        </w:rPr>
        <w:t>监测点</w:t>
      </w:r>
      <w:r>
        <w:rPr>
          <w:rFonts w:hint="eastAsia"/>
          <w:szCs w:val="24"/>
          <w:lang w:val="en-US" w:eastAsia="zh-CN"/>
        </w:rPr>
        <w:t xml:space="preserve"> </w:t>
      </w:r>
      <w:r>
        <w:rPr>
          <w:rFonts w:hint="eastAsia"/>
          <w:szCs w:val="24"/>
          <w:highlight w:val="none"/>
          <w:lang w:val="en-US" w:eastAsia="zh-CN"/>
        </w:rPr>
        <w:t>m</w:t>
      </w:r>
      <w:r>
        <w:rPr>
          <w:szCs w:val="24"/>
          <w:highlight w:val="none"/>
        </w:rPr>
        <w:t>onitoring points</w:t>
      </w:r>
    </w:p>
    <w:p>
      <w:pPr>
        <w:spacing w:line="360" w:lineRule="auto"/>
        <w:ind w:firstLine="480"/>
      </w:pPr>
      <w:r>
        <w:rPr>
          <w:rFonts w:hint="eastAsia"/>
        </w:rPr>
        <w:t>在桥梁结构中设置的特定位置，通过安装传感器等监测设备，对桥梁结构的各项物理参数进行实时监测和采集的位置。监测点的位置和数量通常根据桥梁结构的设计和实际使用情况进行确定，以覆盖关键部位和可能发生变形或破坏的区域。</w:t>
      </w:r>
    </w:p>
    <w:p>
      <w:pPr>
        <w:pStyle w:val="40"/>
        <w:numPr>
          <w:ilvl w:val="2"/>
          <w:numId w:val="3"/>
        </w:numPr>
        <w:spacing w:line="360" w:lineRule="auto"/>
        <w:ind w:firstLineChars="0"/>
      </w:pPr>
      <w:r>
        <w:rPr>
          <w:rFonts w:hint="eastAsia"/>
          <w:szCs w:val="24"/>
        </w:rPr>
        <w:t>数据库</w:t>
      </w:r>
      <w:r>
        <w:rPr>
          <w:rFonts w:hint="eastAsia"/>
          <w:szCs w:val="24"/>
          <w:lang w:val="en-US" w:eastAsia="zh-CN"/>
        </w:rPr>
        <w:t xml:space="preserve"> </w:t>
      </w:r>
      <w:r>
        <w:rPr>
          <w:rFonts w:hint="eastAsia"/>
          <w:szCs w:val="24"/>
          <w:highlight w:val="none"/>
          <w:lang w:val="en-US" w:eastAsia="zh-CN"/>
        </w:rPr>
        <w:t>d</w:t>
      </w:r>
      <w:r>
        <w:rPr>
          <w:szCs w:val="24"/>
          <w:highlight w:val="none"/>
        </w:rPr>
        <w:t>ata base</w:t>
      </w:r>
    </w:p>
    <w:p>
      <w:pPr>
        <w:spacing w:line="360" w:lineRule="auto"/>
        <w:ind w:firstLine="480"/>
      </w:pPr>
      <w:r>
        <w:rPr>
          <w:rFonts w:hint="eastAsia"/>
        </w:rPr>
        <w:t>按照特定结构组织和存储数据的集合，可以使用计算机软件对其中的数据进行访问、管理和处理。桥梁健康监测系统中的数据库通常用于存储各种监测数据、系统配置信息、用户信息等相关数据。在桥梁健康监测系统中，数据库的设计和管理直接关系到数据的安全性、完整性和可靠性。</w:t>
      </w:r>
    </w:p>
    <w:p>
      <w:pPr>
        <w:pStyle w:val="40"/>
        <w:numPr>
          <w:ilvl w:val="2"/>
          <w:numId w:val="3"/>
        </w:numPr>
        <w:spacing w:line="360" w:lineRule="auto"/>
        <w:ind w:firstLineChars="0"/>
      </w:pPr>
      <w:r>
        <w:rPr>
          <w:rFonts w:hint="eastAsia"/>
          <w:szCs w:val="24"/>
        </w:rPr>
        <w:t>网络安全</w:t>
      </w:r>
      <w:r>
        <w:rPr>
          <w:rFonts w:hint="eastAsia"/>
          <w:szCs w:val="24"/>
          <w:lang w:val="en-US" w:eastAsia="zh-CN"/>
        </w:rPr>
        <w:t xml:space="preserve"> </w:t>
      </w:r>
      <w:r>
        <w:rPr>
          <w:rFonts w:hint="eastAsia"/>
          <w:szCs w:val="24"/>
          <w:highlight w:val="none"/>
          <w:lang w:val="en-US" w:eastAsia="zh-CN"/>
        </w:rPr>
        <w:t>n</w:t>
      </w:r>
      <w:r>
        <w:rPr>
          <w:szCs w:val="24"/>
          <w:highlight w:val="none"/>
        </w:rPr>
        <w:t>etwork security</w:t>
      </w:r>
    </w:p>
    <w:p>
      <w:pPr>
        <w:spacing w:line="360" w:lineRule="auto"/>
        <w:ind w:firstLine="480"/>
      </w:pPr>
      <w:r>
        <w:rPr>
          <w:rFonts w:hint="eastAsia"/>
        </w:rPr>
        <w:t>在计算机网络环境中，保护网络系统和网络用户不受未经授权的访问、攻击、破坏、窃取、篡改和病毒等威胁的一系列技术、策略和措施。网络安全通常涵盖网络安全管理、网络安全技术、网络安全政策等方面，主要包括防火墙、入侵检测、数据加密、身份认证、访问控制、安全审计等技术手段。桥梁健康监测系统中包含大量敏感信息和数据，因此需要采用有效的网络安全技术和措施，保障系统的安全性和可靠性，防止系统受到各种攻击和破坏。</w:t>
      </w:r>
    </w:p>
    <w:p>
      <w:pPr>
        <w:pStyle w:val="40"/>
        <w:numPr>
          <w:ilvl w:val="2"/>
          <w:numId w:val="3"/>
        </w:numPr>
        <w:spacing w:line="360" w:lineRule="auto"/>
        <w:ind w:firstLineChars="0"/>
      </w:pPr>
      <w:r>
        <w:rPr>
          <w:rFonts w:hint="eastAsia"/>
          <w:szCs w:val="24"/>
        </w:rPr>
        <w:t>系统维护</w:t>
      </w:r>
      <w:r>
        <w:rPr>
          <w:rFonts w:hint="eastAsia"/>
          <w:szCs w:val="24"/>
          <w:lang w:val="en-US" w:eastAsia="zh-CN"/>
        </w:rPr>
        <w:t xml:space="preserve"> </w:t>
      </w:r>
      <w:r>
        <w:rPr>
          <w:rFonts w:hint="eastAsia"/>
          <w:szCs w:val="24"/>
          <w:highlight w:val="none"/>
          <w:lang w:val="en-US" w:eastAsia="zh-CN"/>
        </w:rPr>
        <w:t>s</w:t>
      </w:r>
      <w:r>
        <w:rPr>
          <w:szCs w:val="24"/>
          <w:highlight w:val="none"/>
        </w:rPr>
        <w:t>ystem maintenance</w:t>
      </w:r>
    </w:p>
    <w:p>
      <w:pPr>
        <w:spacing w:line="360" w:lineRule="auto"/>
        <w:ind w:firstLine="480"/>
      </w:pPr>
      <w:r>
        <w:rPr>
          <w:rFonts w:hint="eastAsia"/>
        </w:rPr>
        <w:t>对系统进行定期或不定期的检查、保养、修复和升级等操作，以保证系统正常运行并提高系统的可靠性、可用性和安全性。系统维护包括硬件维护、软件维护和数据维护，通常由专业的系统管理员或运维人员负责。</w:t>
      </w:r>
    </w:p>
    <w:p>
      <w:pPr>
        <w:pStyle w:val="40"/>
        <w:numPr>
          <w:ilvl w:val="2"/>
          <w:numId w:val="3"/>
        </w:numPr>
        <w:spacing w:line="360" w:lineRule="auto"/>
        <w:ind w:firstLineChars="0"/>
      </w:pPr>
      <w:r>
        <w:rPr>
          <w:rFonts w:hint="eastAsia"/>
          <w:szCs w:val="24"/>
        </w:rPr>
        <w:t>动态称重系统</w:t>
      </w:r>
      <w:r>
        <w:rPr>
          <w:rFonts w:hint="eastAsia"/>
          <w:szCs w:val="24"/>
          <w:lang w:val="en-US" w:eastAsia="zh-CN"/>
        </w:rPr>
        <w:t xml:space="preserve"> </w:t>
      </w:r>
      <w:r>
        <w:rPr>
          <w:rFonts w:hint="eastAsia"/>
          <w:szCs w:val="24"/>
          <w:highlight w:val="none"/>
          <w:lang w:val="en-US" w:eastAsia="zh-CN"/>
        </w:rPr>
        <w:t>dynamic</w:t>
      </w:r>
      <w:r>
        <w:rPr>
          <w:szCs w:val="24"/>
          <w:highlight w:val="none"/>
        </w:rPr>
        <w:t xml:space="preserve"> weighing system</w:t>
      </w:r>
    </w:p>
    <w:p>
      <w:pPr>
        <w:spacing w:line="360" w:lineRule="auto"/>
        <w:ind w:firstLine="480"/>
      </w:pPr>
      <w:r>
        <w:rPr>
          <w:rFonts w:hint="eastAsia"/>
        </w:rPr>
        <w:t>一种能够在车辆通过时实时检测车辆重量的系统。由传感器、数据采集设备、数据传输设备、数据处理软件等组成，可对过往车辆的重量、速度等数据进行采集、传输和处理，提供给相关部门进行数据分析、管理和监控，以便进行桥梁结构的健康监测和安全评估。</w:t>
      </w:r>
    </w:p>
    <w:p>
      <w:pPr>
        <w:pStyle w:val="40"/>
        <w:numPr>
          <w:ilvl w:val="2"/>
          <w:numId w:val="3"/>
        </w:numPr>
        <w:spacing w:line="360" w:lineRule="auto"/>
        <w:ind w:firstLineChars="0"/>
      </w:pPr>
      <w:r>
        <w:rPr>
          <w:rFonts w:hint="eastAsia"/>
          <w:szCs w:val="24"/>
        </w:rPr>
        <w:t>分部工程验收</w:t>
      </w:r>
      <w:r>
        <w:rPr>
          <w:rFonts w:hint="eastAsia"/>
          <w:szCs w:val="24"/>
          <w:lang w:val="en-US" w:eastAsia="zh-CN"/>
        </w:rPr>
        <w:t xml:space="preserve"> </w:t>
      </w:r>
      <w:r>
        <w:rPr>
          <w:rFonts w:hint="eastAsia"/>
          <w:szCs w:val="24"/>
          <w:highlight w:val="none"/>
          <w:lang w:val="en-US" w:eastAsia="zh-CN"/>
        </w:rPr>
        <w:t>a</w:t>
      </w:r>
      <w:r>
        <w:rPr>
          <w:szCs w:val="24"/>
          <w:highlight w:val="none"/>
        </w:rPr>
        <w:t xml:space="preserve">cceptance of </w:t>
      </w:r>
      <w:r>
        <w:rPr>
          <w:rFonts w:hint="eastAsia"/>
          <w:szCs w:val="24"/>
          <w:highlight w:val="none"/>
          <w:lang w:val="en-US" w:eastAsia="zh-CN"/>
        </w:rPr>
        <w:t>sectioin</w:t>
      </w:r>
      <w:r>
        <w:rPr>
          <w:szCs w:val="24"/>
          <w:highlight w:val="none"/>
        </w:rPr>
        <w:t xml:space="preserve"> works</w:t>
      </w:r>
    </w:p>
    <w:p>
      <w:pPr>
        <w:spacing w:line="360" w:lineRule="auto"/>
        <w:ind w:firstLine="480"/>
      </w:pPr>
      <w:r>
        <w:rPr>
          <w:rFonts w:hint="eastAsia"/>
        </w:rPr>
        <w:t>在工程建设过程中，按照国家和地方相关规定及标准，将整个工程划分为若干个分部或单位工程，对每个分部工程进行相应的技术验收和验收合格后方可继续施工的过程。</w:t>
      </w:r>
    </w:p>
    <w:p>
      <w:pPr>
        <w:pStyle w:val="40"/>
        <w:numPr>
          <w:ilvl w:val="2"/>
          <w:numId w:val="3"/>
        </w:numPr>
        <w:spacing w:line="360" w:lineRule="auto"/>
        <w:ind w:firstLineChars="0"/>
      </w:pPr>
      <w:r>
        <w:rPr>
          <w:rFonts w:hint="eastAsia"/>
          <w:szCs w:val="24"/>
        </w:rPr>
        <w:t>分项工程验收</w:t>
      </w:r>
      <w:r>
        <w:rPr>
          <w:rFonts w:hint="eastAsia"/>
          <w:szCs w:val="24"/>
          <w:lang w:val="en-US" w:eastAsia="zh-CN"/>
        </w:rPr>
        <w:t xml:space="preserve"> </w:t>
      </w:r>
      <w:r>
        <w:rPr>
          <w:rFonts w:hint="eastAsia"/>
          <w:szCs w:val="24"/>
          <w:highlight w:val="none"/>
          <w:lang w:val="en-US" w:eastAsia="zh-CN"/>
        </w:rPr>
        <w:t>a</w:t>
      </w:r>
      <w:r>
        <w:rPr>
          <w:szCs w:val="24"/>
          <w:highlight w:val="none"/>
        </w:rPr>
        <w:t>cceptance of sub</w:t>
      </w:r>
      <w:r>
        <w:rPr>
          <w:rFonts w:hint="eastAsia"/>
          <w:szCs w:val="24"/>
          <w:highlight w:val="none"/>
          <w:lang w:val="en-US" w:eastAsia="zh-CN"/>
        </w:rPr>
        <w:t>-section</w:t>
      </w:r>
      <w:r>
        <w:rPr>
          <w:szCs w:val="24"/>
          <w:highlight w:val="none"/>
        </w:rPr>
        <w:t xml:space="preserve"> works</w:t>
      </w:r>
    </w:p>
    <w:p>
      <w:pPr>
        <w:spacing w:line="360" w:lineRule="auto"/>
        <w:ind w:firstLine="480"/>
      </w:pPr>
      <w:r>
        <w:rPr>
          <w:rFonts w:hint="eastAsia"/>
        </w:rPr>
        <w:t>建设单位在按照工程设计要求完成各项施工任务后，对工程的质量、安全等方面进行检查、测试、验收、鉴定，评价其是否符合设计、施工规范和建设标准等要求，保证工程质量、安全和环境保护等目标的实现。</w:t>
      </w:r>
    </w:p>
    <w:p>
      <w:pPr>
        <w:pStyle w:val="40"/>
        <w:numPr>
          <w:ilvl w:val="2"/>
          <w:numId w:val="3"/>
        </w:numPr>
        <w:spacing w:line="360" w:lineRule="auto"/>
        <w:ind w:firstLineChars="0"/>
      </w:pPr>
      <w:r>
        <w:rPr>
          <w:rFonts w:hint="eastAsia"/>
          <w:szCs w:val="24"/>
        </w:rPr>
        <w:t>单位工程验收</w:t>
      </w:r>
      <w:r>
        <w:rPr>
          <w:rFonts w:hint="eastAsia"/>
          <w:szCs w:val="24"/>
          <w:lang w:val="en-US" w:eastAsia="zh-CN"/>
        </w:rPr>
        <w:t xml:space="preserve"> </w:t>
      </w:r>
      <w:r>
        <w:rPr>
          <w:rFonts w:hint="eastAsia"/>
          <w:szCs w:val="24"/>
          <w:highlight w:val="none"/>
          <w:lang w:val="en-US" w:eastAsia="zh-CN"/>
        </w:rPr>
        <w:t>a</w:t>
      </w:r>
      <w:r>
        <w:rPr>
          <w:szCs w:val="24"/>
          <w:highlight w:val="none"/>
        </w:rPr>
        <w:t>cceptance of unit works</w:t>
      </w:r>
    </w:p>
    <w:p>
      <w:pPr>
        <w:spacing w:line="360" w:lineRule="auto"/>
        <w:ind w:firstLine="480"/>
      </w:pPr>
      <w:r>
        <w:rPr>
          <w:rFonts w:hint="eastAsia"/>
        </w:rPr>
        <w:t>在工程建设中，针对一个独立的、完整的建筑或者构筑物单位，通过检查、测试、测量等手段，检验其是否符合规划、设计、标准、技术规范等要求，是否具有安全、可靠、经济、合理等特点的过程。</w:t>
      </w:r>
      <w:bookmarkStart w:id="136" w:name="_GoBack"/>
      <w:bookmarkEnd w:id="136"/>
    </w:p>
    <w:p>
      <w:pPr>
        <w:pStyle w:val="40"/>
        <w:numPr>
          <w:ilvl w:val="2"/>
          <w:numId w:val="3"/>
        </w:numPr>
        <w:spacing w:line="360" w:lineRule="auto"/>
        <w:ind w:firstLineChars="0"/>
      </w:pPr>
      <w:r>
        <w:rPr>
          <w:rFonts w:hint="eastAsia"/>
          <w:szCs w:val="24"/>
        </w:rPr>
        <w:t>竣工验收</w:t>
      </w:r>
      <w:r>
        <w:rPr>
          <w:rFonts w:hint="eastAsia"/>
          <w:szCs w:val="24"/>
          <w:lang w:val="en-US" w:eastAsia="zh-CN"/>
        </w:rPr>
        <w:t xml:space="preserve"> </w:t>
      </w:r>
      <w:r>
        <w:rPr>
          <w:rFonts w:hint="eastAsia"/>
          <w:szCs w:val="24"/>
          <w:highlight w:val="none"/>
          <w:lang w:val="en-US" w:eastAsia="zh-CN"/>
        </w:rPr>
        <w:t>completion</w:t>
      </w:r>
    </w:p>
    <w:p>
      <w:pPr>
        <w:spacing w:line="360" w:lineRule="auto"/>
        <w:ind w:firstLine="480"/>
      </w:pPr>
      <w:r>
        <w:rPr>
          <w:rFonts w:hint="eastAsia"/>
        </w:rPr>
        <w:t>建设单位在建筑工程全部或者部分完成后，对工程所完成的质量、规格、数量、安全、环保等方面进行检查、测试和评定，以确定工程是否满足设计要求、技术标准和质量要求，并达到法定的安全和环保标准，具备相应的可靠性、使用寿命和节能要求，以及经验性要求。</w:t>
      </w:r>
    </w:p>
    <w:p>
      <w:pPr>
        <w:ind w:firstLine="0" w:firstLineChars="0"/>
      </w:pPr>
    </w:p>
    <w:p>
      <w:pPr>
        <w:ind w:firstLine="0" w:firstLineChars="0"/>
        <w:sectPr>
          <w:pgSz w:w="11906" w:h="16838"/>
          <w:pgMar w:top="1440" w:right="1800" w:bottom="1440" w:left="1800" w:header="851" w:footer="992" w:gutter="0"/>
          <w:cols w:space="425" w:num="1"/>
          <w:docGrid w:type="lines" w:linePitch="312" w:charSpace="0"/>
        </w:sectPr>
      </w:pPr>
    </w:p>
    <w:p>
      <w:pPr>
        <w:pStyle w:val="2"/>
        <w:spacing w:after="312"/>
      </w:pPr>
      <w:bookmarkStart w:id="18" w:name="_Toc136506055"/>
      <w:r>
        <w:rPr>
          <w:rFonts w:hint="eastAsia"/>
        </w:rPr>
        <w:t>基本规定</w:t>
      </w:r>
      <w:bookmarkEnd w:id="18"/>
    </w:p>
    <w:p>
      <w:pPr>
        <w:pStyle w:val="40"/>
        <w:numPr>
          <w:ilvl w:val="0"/>
          <w:numId w:val="3"/>
        </w:numPr>
        <w:ind w:firstLineChars="0"/>
        <w:rPr>
          <w:vanish/>
          <w:szCs w:val="24"/>
        </w:rPr>
      </w:pPr>
    </w:p>
    <w:p>
      <w:pPr>
        <w:pStyle w:val="40"/>
        <w:numPr>
          <w:ilvl w:val="1"/>
          <w:numId w:val="3"/>
        </w:numPr>
        <w:ind w:firstLineChars="0"/>
        <w:rPr>
          <w:vanish/>
          <w:szCs w:val="24"/>
        </w:rPr>
      </w:pPr>
    </w:p>
    <w:p>
      <w:pPr>
        <w:pStyle w:val="40"/>
        <w:numPr>
          <w:ilvl w:val="2"/>
          <w:numId w:val="3"/>
        </w:numPr>
        <w:spacing w:line="360" w:lineRule="auto"/>
        <w:ind w:firstLineChars="0"/>
      </w:pPr>
      <w:r>
        <w:rPr>
          <w:rFonts w:hint="eastAsia"/>
        </w:rPr>
        <w:t>城市桥梁</w:t>
      </w:r>
      <w:r>
        <w:t>符合下列条件之一时，应进行桥梁</w:t>
      </w:r>
      <w:r>
        <w:rPr>
          <w:rFonts w:hint="eastAsia"/>
        </w:rPr>
        <w:t>健康</w:t>
      </w:r>
      <w:r>
        <w:t>监测</w:t>
      </w:r>
      <w:r>
        <w:rPr>
          <w:color w:val="FF0000"/>
        </w:rPr>
        <w:t>。</w:t>
      </w:r>
    </w:p>
    <w:p>
      <w:pPr>
        <w:spacing w:line="360" w:lineRule="auto"/>
        <w:ind w:firstLine="480"/>
      </w:pPr>
      <w:r>
        <w:rPr>
          <w:rFonts w:hint="eastAsia"/>
        </w:rPr>
        <w:t>1 主</w:t>
      </w:r>
      <w:r>
        <w:t>跨跨径大于等于</w:t>
      </w:r>
      <w:r>
        <w:rPr>
          <w:rFonts w:hint="eastAsia"/>
        </w:rPr>
        <w:t>160</w:t>
      </w:r>
      <w:r>
        <w:t>m梁桥、</w:t>
      </w:r>
      <w:r>
        <w:rPr>
          <w:rFonts w:hint="eastAsia"/>
        </w:rPr>
        <w:t>200</w:t>
      </w:r>
      <w:r>
        <w:t>m拱桥</w:t>
      </w:r>
      <w:r>
        <w:rPr>
          <w:rFonts w:hint="eastAsia"/>
        </w:rPr>
        <w:t>、300</w:t>
      </w:r>
      <w:r>
        <w:t>m斜拉桥、</w:t>
      </w:r>
      <w:r>
        <w:rPr>
          <w:rFonts w:hint="eastAsia"/>
        </w:rPr>
        <w:t>500</w:t>
      </w:r>
      <w:r>
        <w:t>m悬索桥；</w:t>
      </w:r>
    </w:p>
    <w:p>
      <w:pPr>
        <w:spacing w:line="360" w:lineRule="auto"/>
        <w:ind w:firstLine="480"/>
      </w:pPr>
      <w:r>
        <w:rPr>
          <w:rFonts w:hint="eastAsia"/>
        </w:rPr>
        <w:t>2 技术</w:t>
      </w:r>
      <w:r>
        <w:t>状况等级为</w:t>
      </w:r>
      <w:r>
        <w:rPr>
          <w:rFonts w:hint="eastAsia"/>
        </w:rPr>
        <w:t>C级</w:t>
      </w:r>
      <w:r>
        <w:t>以下且须跟踪观测的在役</w:t>
      </w:r>
      <w:r>
        <w:rPr>
          <w:rFonts w:hint="eastAsia"/>
        </w:rPr>
        <w:t>桥梁</w:t>
      </w:r>
      <w:r>
        <w:t>；</w:t>
      </w:r>
    </w:p>
    <w:p>
      <w:pPr>
        <w:spacing w:line="360" w:lineRule="auto"/>
        <w:ind w:firstLine="480"/>
      </w:pPr>
      <w:r>
        <w:rPr>
          <w:rFonts w:hint="eastAsia"/>
        </w:rPr>
        <w:t>3 经过</w:t>
      </w:r>
      <w:r>
        <w:t>评定需要进行</w:t>
      </w:r>
      <w:r>
        <w:rPr>
          <w:rFonts w:hint="eastAsia"/>
        </w:rPr>
        <w:t>健康</w:t>
      </w:r>
      <w:r>
        <w:t>监测的桥梁。</w:t>
      </w:r>
    </w:p>
    <w:p>
      <w:pPr>
        <w:pStyle w:val="40"/>
        <w:numPr>
          <w:ilvl w:val="2"/>
          <w:numId w:val="3"/>
        </w:numPr>
        <w:spacing w:line="360" w:lineRule="auto"/>
        <w:ind w:firstLineChars="0"/>
      </w:pPr>
      <w:r>
        <w:rPr>
          <w:rFonts w:hint="eastAsia"/>
        </w:rPr>
        <w:t>对需要监测的待建桥梁，结构设计阶段应统筹监测系统设计。</w:t>
      </w:r>
    </w:p>
    <w:p>
      <w:pPr>
        <w:pStyle w:val="40"/>
        <w:numPr>
          <w:ilvl w:val="2"/>
          <w:numId w:val="3"/>
        </w:numPr>
        <w:spacing w:line="360" w:lineRule="auto"/>
        <w:ind w:firstLineChars="0"/>
      </w:pPr>
      <w:r>
        <w:rPr>
          <w:rFonts w:hint="eastAsia"/>
        </w:rPr>
        <w:t>桥梁健康监测系统应由系统硬件、系统软件和配套工程组成。</w:t>
      </w:r>
    </w:p>
    <w:p>
      <w:pPr>
        <w:pStyle w:val="40"/>
        <w:numPr>
          <w:ilvl w:val="2"/>
          <w:numId w:val="3"/>
        </w:numPr>
        <w:spacing w:line="360" w:lineRule="auto"/>
        <w:ind w:firstLineChars="0"/>
      </w:pPr>
      <w:r>
        <w:rPr>
          <w:rFonts w:hint="eastAsia"/>
        </w:rPr>
        <w:t>应根据桥梁的受力状态、风险评估、耐久性分析结果和监测应用需求确定结构的监测内容、布设监测测点、选择监测方法、构建监测系统、进行数据管理、开展监测应用。</w:t>
      </w:r>
    </w:p>
    <w:p>
      <w:pPr>
        <w:pStyle w:val="40"/>
        <w:numPr>
          <w:ilvl w:val="2"/>
          <w:numId w:val="3"/>
        </w:numPr>
        <w:spacing w:line="360" w:lineRule="auto"/>
        <w:ind w:firstLineChars="0"/>
      </w:pPr>
      <w:r>
        <w:rPr>
          <w:rFonts w:hint="eastAsia"/>
        </w:rPr>
        <w:t>桥梁结构监测应分为系统设计、系统实施、</w:t>
      </w:r>
      <w:r>
        <w:rPr>
          <w:rFonts w:hint="eastAsia"/>
          <w:color w:val="auto"/>
        </w:rPr>
        <w:t>系统试运行、系统验收、</w:t>
      </w:r>
      <w:r>
        <w:rPr>
          <w:rFonts w:hint="eastAsia"/>
        </w:rPr>
        <w:t>系统运维和监测数据应用阶段。</w:t>
      </w:r>
    </w:p>
    <w:p>
      <w:pPr>
        <w:pStyle w:val="40"/>
        <w:numPr>
          <w:ilvl w:val="2"/>
          <w:numId w:val="3"/>
        </w:numPr>
        <w:spacing w:line="360" w:lineRule="auto"/>
        <w:ind w:firstLineChars="0"/>
      </w:pPr>
      <w:r>
        <w:rPr>
          <w:rFonts w:hint="eastAsia"/>
        </w:rPr>
        <w:t>桥梁结构监测应贯穿桥梁结构运营期，在正常维护和更换条件下，监测系统硬件、系统软件的更换与升级应保障监测数据的衔接与分析的连续性。预埋在结构内部的传感器的使用寿命应不低于20年；附着安装在结构上的非埋入式传感器的使用寿命应不低于5年。</w:t>
      </w:r>
    </w:p>
    <w:p>
      <w:pPr>
        <w:pStyle w:val="40"/>
        <w:numPr>
          <w:ilvl w:val="2"/>
          <w:numId w:val="3"/>
        </w:numPr>
        <w:spacing w:line="360" w:lineRule="auto"/>
        <w:ind w:firstLineChars="0"/>
      </w:pPr>
      <w:r>
        <w:rPr>
          <w:rFonts w:hint="eastAsia"/>
        </w:rPr>
        <w:t>轻量化桥梁健康监测系统应具备预警和应用指引功能，</w:t>
      </w:r>
      <w:r>
        <w:rPr>
          <w:rFonts w:hint="eastAsia"/>
          <w:lang w:eastAsia="zh-CN"/>
        </w:rPr>
        <w:t>应</w:t>
      </w:r>
      <w:r>
        <w:rPr>
          <w:rFonts w:hint="eastAsia"/>
          <w:color w:val="auto"/>
        </w:rPr>
        <w:t>预留</w:t>
      </w:r>
      <w:r>
        <w:rPr>
          <w:rFonts w:hint="eastAsia"/>
        </w:rPr>
        <w:t>接入省级监测平台系统的接口。</w:t>
      </w:r>
    </w:p>
    <w:p>
      <w:pPr>
        <w:pStyle w:val="40"/>
        <w:numPr>
          <w:ilvl w:val="2"/>
          <w:numId w:val="3"/>
        </w:numPr>
        <w:spacing w:line="360" w:lineRule="auto"/>
        <w:ind w:firstLineChars="0"/>
      </w:pPr>
      <w:r>
        <w:rPr>
          <w:rFonts w:hint="eastAsia"/>
        </w:rPr>
        <w:t>对于新建桥梁，宜将施工监控和运营期健康监测系统统一设计，施工期布设的监测设备在运营期不宜重复布设，应做好施工期和运营期的数据衔接。</w:t>
      </w:r>
    </w:p>
    <w:p>
      <w:pPr>
        <w:pStyle w:val="40"/>
        <w:numPr>
          <w:ilvl w:val="2"/>
          <w:numId w:val="3"/>
        </w:numPr>
        <w:spacing w:line="360" w:lineRule="auto"/>
        <w:ind w:firstLineChars="0"/>
      </w:pPr>
      <w:r>
        <w:rPr>
          <w:rFonts w:hint="eastAsia"/>
        </w:rPr>
        <w:t>健康监测系统建设应不影响桥梁本体结构的安全性和耐久性，监测设备安装底座、预留管线等宜在桥梁施工期预埋。对列入文物保护的桥梁，健康监测系统的</w:t>
      </w:r>
      <w:r>
        <w:t>现场实施</w:t>
      </w:r>
      <w:r>
        <w:rPr>
          <w:rFonts w:hint="eastAsia"/>
        </w:rPr>
        <w:t>尚应符合文物保护部门的有关规定。</w:t>
      </w:r>
    </w:p>
    <w:p>
      <w:pPr>
        <w:pStyle w:val="40"/>
        <w:numPr>
          <w:ilvl w:val="2"/>
          <w:numId w:val="3"/>
        </w:numPr>
        <w:spacing w:line="360" w:lineRule="auto"/>
        <w:ind w:firstLineChars="0"/>
      </w:pPr>
      <w:r>
        <w:rPr>
          <w:rFonts w:hint="eastAsia"/>
        </w:rPr>
        <w:t>公轨两用桥梁的健康监测系统尚应符合《城市轨道交通设施运营监测技术规范 第2部分：桥梁》GB/T 39559.2的要求。</w:t>
      </w:r>
    </w:p>
    <w:p>
      <w:pPr>
        <w:ind w:firstLine="0" w:firstLineChars="0"/>
      </w:pPr>
    </w:p>
    <w:p>
      <w:pPr>
        <w:ind w:firstLine="0" w:firstLineChars="0"/>
      </w:pPr>
    </w:p>
    <w:p>
      <w:pPr>
        <w:ind w:firstLine="0" w:firstLineChars="0"/>
      </w:pPr>
    </w:p>
    <w:p>
      <w:pPr>
        <w:ind w:firstLine="0" w:firstLineChars="0"/>
        <w:sectPr>
          <w:pgSz w:w="11906" w:h="16838"/>
          <w:pgMar w:top="1440" w:right="1800" w:bottom="1440" w:left="1800" w:header="851" w:footer="992" w:gutter="0"/>
          <w:cols w:space="425" w:num="1"/>
          <w:docGrid w:type="lines" w:linePitch="312" w:charSpace="0"/>
        </w:sectPr>
      </w:pPr>
    </w:p>
    <w:p>
      <w:pPr>
        <w:pStyle w:val="2"/>
        <w:spacing w:after="312"/>
      </w:pPr>
      <w:bookmarkStart w:id="19" w:name="_Toc136506056"/>
      <w:r>
        <w:rPr>
          <w:rFonts w:hint="eastAsia"/>
        </w:rPr>
        <w:t>系统设计</w:t>
      </w:r>
      <w:bookmarkEnd w:id="19"/>
    </w:p>
    <w:p>
      <w:pPr>
        <w:pStyle w:val="3"/>
        <w:jc w:val="center"/>
      </w:pPr>
      <w:bookmarkStart w:id="20" w:name="_Toc136506057"/>
      <w:bookmarkStart w:id="21" w:name="_Hlk130803645"/>
      <w:r>
        <w:rPr>
          <w:rFonts w:hint="eastAsia"/>
        </w:rPr>
        <w:t>一般规定</w:t>
      </w:r>
      <w:bookmarkEnd w:id="20"/>
    </w:p>
    <w:p>
      <w:pPr>
        <w:pStyle w:val="4"/>
      </w:pPr>
      <w:r>
        <w:rPr>
          <w:rFonts w:hint="eastAsia"/>
        </w:rPr>
        <w:t>健康监测系统应对异常状况进行报警，分析监测数据，评估桥梁结构状态及变化。</w:t>
      </w:r>
    </w:p>
    <w:p>
      <w:pPr>
        <w:pStyle w:val="4"/>
      </w:pPr>
      <w:r>
        <w:rPr>
          <w:rFonts w:hint="eastAsia"/>
        </w:rPr>
        <w:t>软件系统应技术先进、稳定可靠、经济实用、便于维护更换及扩展升级、人机交互友好、操作便捷流畅。</w:t>
      </w:r>
    </w:p>
    <w:p>
      <w:pPr>
        <w:keepNext/>
        <w:keepLines/>
        <w:numPr>
          <w:ilvl w:val="2"/>
          <w:numId w:val="1"/>
        </w:numPr>
        <w:spacing w:line="360" w:lineRule="auto"/>
        <w:ind w:firstLineChars="0"/>
        <w:outlineLvl w:val="2"/>
        <w:rPr>
          <w:bCs/>
          <w:szCs w:val="32"/>
        </w:rPr>
      </w:pPr>
      <w:r>
        <w:rPr>
          <w:rFonts w:hint="eastAsia"/>
          <w:bCs/>
          <w:szCs w:val="32"/>
        </w:rPr>
        <w:t>健康监测系统应提供故障自诊断功能。</w:t>
      </w:r>
    </w:p>
    <w:p>
      <w:pPr>
        <w:pStyle w:val="4"/>
      </w:pPr>
      <w:r>
        <w:rPr>
          <w:rFonts w:hint="eastAsia"/>
        </w:rPr>
        <w:t>监测设备和数据采集频率应根据经济和技术因素综合确定。</w:t>
      </w:r>
    </w:p>
    <w:p>
      <w:pPr>
        <w:pStyle w:val="4"/>
      </w:pPr>
      <w:r>
        <w:rPr>
          <w:rFonts w:hint="eastAsia"/>
        </w:rPr>
        <w:t>Ⅱ类养护的C级及以上桥梁宜以成桥状态或年平均气温作为基准状态，D级及以下桥梁应以检测评估结论的状态为基准状态，监测数据分析应基于基准状态进行。</w:t>
      </w:r>
    </w:p>
    <w:p>
      <w:pPr>
        <w:pStyle w:val="4"/>
      </w:pPr>
      <w:r>
        <w:rPr>
          <w:rFonts w:hint="eastAsia"/>
        </w:rPr>
        <w:t>监测方案制定前应收集桥梁设计资料</w:t>
      </w:r>
      <w:r>
        <w:t>、</w:t>
      </w:r>
      <w:r>
        <w:rPr>
          <w:rFonts w:hint="eastAsia"/>
        </w:rPr>
        <w:t>施工资料、加固维修资料、检测资料，并开展现场调查，了解现场限制条件，确定监测重点部位和内容。</w:t>
      </w:r>
    </w:p>
    <w:p>
      <w:pPr>
        <w:pStyle w:val="4"/>
      </w:pPr>
      <w:r>
        <w:rPr>
          <w:rFonts w:hint="eastAsia"/>
        </w:rPr>
        <w:t>监测方案计算分析应根据受力特点选择梁单元、板单元等建立有限元模型。成桥状态应计入施工过程的影响，运营阶段应计入混凝土收缩、徐变效应的影响。</w:t>
      </w:r>
    </w:p>
    <w:p>
      <w:pPr>
        <w:pStyle w:val="4"/>
      </w:pPr>
      <w:r>
        <w:rPr>
          <w:rFonts w:hint="eastAsia"/>
        </w:rPr>
        <w:t>监测方案应明确传感器的类型和数量，安装位置、方向。</w:t>
      </w:r>
    </w:p>
    <w:p>
      <w:pPr>
        <w:pStyle w:val="3"/>
        <w:jc w:val="center"/>
      </w:pPr>
      <w:bookmarkStart w:id="22" w:name="_Toc136506058"/>
      <w:r>
        <w:rPr>
          <w:rFonts w:hint="eastAsia"/>
        </w:rPr>
        <w:t>监测内容及测点布设</w:t>
      </w:r>
      <w:bookmarkEnd w:id="22"/>
    </w:p>
    <w:p>
      <w:pPr>
        <w:pStyle w:val="4"/>
      </w:pPr>
      <w:r>
        <w:rPr>
          <w:rFonts w:hint="eastAsia"/>
        </w:rPr>
        <w:t>桥梁健康监测内容应包括：环境、作用、结构响应和结构变化。应根据桥梁的运行环境、受力状态分析、技术状况评估结果、安全性评估结果、监测应用目标确定具体监测内容。</w:t>
      </w:r>
    </w:p>
    <w:p>
      <w:pPr>
        <w:pStyle w:val="4"/>
      </w:pPr>
      <w:r>
        <w:rPr>
          <w:rFonts w:hint="eastAsia"/>
        </w:rPr>
        <w:t>航道等级为Ⅰ级～Ⅵ级的通航孔桥和易受船舶撞击的非通航孔桥宜进行船舶撞击监测，航道等级应根据桥梁设计通航批复文件或通航规定确定。</w:t>
      </w:r>
    </w:p>
    <w:p>
      <w:pPr>
        <w:pStyle w:val="4"/>
      </w:pPr>
      <w:r>
        <w:rPr>
          <w:rFonts w:hint="eastAsia"/>
        </w:rPr>
        <w:t>监测内容宜兼顾《城市</w:t>
      </w:r>
      <w:r>
        <w:t>桥梁养护技术标准</w:t>
      </w:r>
      <w:r>
        <w:rPr>
          <w:rFonts w:hint="eastAsia"/>
        </w:rPr>
        <w:t>》CJJ 99中规定的桥梁永久观测点观测需求。</w:t>
      </w:r>
    </w:p>
    <w:p>
      <w:pPr>
        <w:pStyle w:val="4"/>
      </w:pPr>
      <w:r>
        <w:rPr>
          <w:rFonts w:hint="eastAsia"/>
        </w:rPr>
        <w:t>特大跨径梁桥监测内容宜按表4.2.</w:t>
      </w:r>
      <w:r>
        <w:t>4</w:t>
      </w:r>
      <w:r>
        <w:rPr>
          <w:rFonts w:hint="eastAsia"/>
        </w:rPr>
        <w:t>选择相应监测内容。</w:t>
      </w:r>
    </w:p>
    <w:tbl>
      <w:tblPr>
        <w:tblStyle w:val="43"/>
        <w:tblW w:w="8306" w:type="dxa"/>
        <w:tblInd w:w="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830"/>
        <w:gridCol w:w="1464"/>
        <w:gridCol w:w="4445"/>
        <w:gridCol w:w="1567"/>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blHeader/>
        </w:trPr>
        <w:tc>
          <w:tcPr>
            <w:tcW w:w="8306" w:type="dxa"/>
            <w:gridSpan w:val="4"/>
            <w:tcBorders>
              <w:top w:val="nil"/>
              <w:left w:val="nil"/>
              <w:bottom w:val="single" w:color="auto" w:sz="4" w:space="0"/>
              <w:right w:val="nil"/>
            </w:tcBorders>
            <w:vAlign w:val="center"/>
          </w:tcPr>
          <w:p>
            <w:pPr>
              <w:pStyle w:val="38"/>
              <w:widowControl w:val="0"/>
              <w:autoSpaceDE w:val="0"/>
              <w:autoSpaceDN w:val="0"/>
              <w:rPr>
                <w:lang w:eastAsia="en-US"/>
              </w:rPr>
            </w:pPr>
            <w:r>
              <w:rPr>
                <w:rFonts w:hint="eastAsia"/>
                <w:lang w:eastAsia="en-US"/>
              </w:rPr>
              <w:t xml:space="preserve">表 </w:t>
            </w:r>
            <w:r>
              <w:rPr>
                <w:lang w:eastAsia="en-US"/>
              </w:rPr>
              <w:fldChar w:fldCharType="begin"/>
            </w:r>
            <w:r>
              <w:rPr>
                <w:lang w:eastAsia="en-US"/>
              </w:rPr>
              <w:instrText xml:space="preserve"> </w:instrText>
            </w:r>
            <w:r>
              <w:rPr>
                <w:rFonts w:hint="eastAsia"/>
                <w:lang w:eastAsia="en-US"/>
              </w:rPr>
              <w:instrText xml:space="preserve">STYLEREF 3 \s</w:instrText>
            </w:r>
            <w:r>
              <w:rPr>
                <w:lang w:eastAsia="en-US"/>
              </w:rPr>
              <w:instrText xml:space="preserve"> </w:instrText>
            </w:r>
            <w:r>
              <w:rPr>
                <w:lang w:eastAsia="en-US"/>
              </w:rPr>
              <w:fldChar w:fldCharType="separate"/>
            </w:r>
            <w:r>
              <w:rPr>
                <w:lang w:eastAsia="en-US"/>
              </w:rPr>
              <w:t>4.2.4</w:t>
            </w:r>
            <w:r>
              <w:rPr>
                <w:lang w:eastAsia="en-US"/>
              </w:rPr>
              <w:fldChar w:fldCharType="end"/>
            </w:r>
            <w:r>
              <w:rPr>
                <w:lang w:eastAsia="en-US"/>
              </w:rPr>
              <w:t xml:space="preserve"> </w:t>
            </w:r>
            <w:r>
              <w:rPr>
                <w:rFonts w:hint="eastAsia"/>
                <w:lang w:eastAsia="en-US"/>
              </w:rPr>
              <w:t>梁桥监测内容</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blHeader/>
        </w:trPr>
        <w:tc>
          <w:tcPr>
            <w:tcW w:w="2294" w:type="dxa"/>
            <w:gridSpan w:val="2"/>
            <w:tcBorders>
              <w:top w:val="single" w:color="auto"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b/>
                <w:w w:val="105"/>
                <w:kern w:val="0"/>
                <w:sz w:val="21"/>
                <w:szCs w:val="21"/>
                <w:lang w:eastAsia="en-US"/>
              </w:rPr>
            </w:pPr>
            <w:r>
              <w:rPr>
                <w:rFonts w:ascii="宋体" w:hAnsi="宋体" w:cs="华光书宋_CNKI"/>
                <w:b/>
                <w:w w:val="105"/>
                <w:kern w:val="0"/>
                <w:sz w:val="21"/>
                <w:szCs w:val="21"/>
                <w:lang w:eastAsia="en-US"/>
              </w:rPr>
              <w:t>监测类别</w:t>
            </w:r>
          </w:p>
        </w:tc>
        <w:tc>
          <w:tcPr>
            <w:tcW w:w="4445" w:type="dxa"/>
            <w:tcBorders>
              <w:top w:val="single" w:color="auto" w:sz="4" w:space="0"/>
              <w:left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b/>
                <w:w w:val="105"/>
                <w:kern w:val="0"/>
                <w:sz w:val="21"/>
                <w:szCs w:val="21"/>
                <w:lang w:eastAsia="en-US"/>
              </w:rPr>
            </w:pPr>
            <w:r>
              <w:rPr>
                <w:rFonts w:ascii="宋体" w:hAnsi="宋体" w:cs="华光书宋_CNKI"/>
                <w:b/>
                <w:w w:val="105"/>
                <w:kern w:val="0"/>
                <w:sz w:val="21"/>
                <w:szCs w:val="21"/>
                <w:lang w:eastAsia="en-US"/>
              </w:rPr>
              <w:t>监 测 内 容</w:t>
            </w:r>
          </w:p>
        </w:tc>
        <w:tc>
          <w:tcPr>
            <w:tcW w:w="1567" w:type="dxa"/>
            <w:tcBorders>
              <w:top w:val="single" w:color="auto" w:sz="4" w:space="0"/>
              <w:left w:val="single" w:color="231F20" w:sz="4" w:space="0"/>
            </w:tcBorders>
            <w:vAlign w:val="center"/>
          </w:tcPr>
          <w:p>
            <w:pPr>
              <w:autoSpaceDE w:val="0"/>
              <w:autoSpaceDN w:val="0"/>
              <w:spacing w:line="240" w:lineRule="auto"/>
              <w:ind w:firstLine="0" w:firstLineChars="0"/>
              <w:jc w:val="center"/>
              <w:rPr>
                <w:rFonts w:ascii="宋体" w:hAnsi="宋体" w:cs="华光书宋_CNKI"/>
                <w:b/>
                <w:kern w:val="0"/>
                <w:sz w:val="21"/>
                <w:szCs w:val="21"/>
                <w:lang w:eastAsia="en-US"/>
              </w:rPr>
            </w:pPr>
            <w:r>
              <w:rPr>
                <w:rFonts w:hint="eastAsia" w:ascii="宋体" w:hAnsi="宋体" w:cs="华光书宋_CNKI"/>
                <w:b/>
                <w:kern w:val="0"/>
                <w:sz w:val="21"/>
                <w:szCs w:val="21"/>
                <w:lang w:eastAsia="en-US"/>
              </w:rPr>
              <w:t>监测选项</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5" w:hRule="atLeast"/>
        </w:trPr>
        <w:tc>
          <w:tcPr>
            <w:tcW w:w="830" w:type="dxa"/>
            <w:vMerge w:val="restart"/>
            <w:tcBorders>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环境</w:t>
            </w:r>
          </w:p>
        </w:tc>
        <w:tc>
          <w:tcPr>
            <w:tcW w:w="1464" w:type="dxa"/>
            <w:vMerge w:val="restart"/>
            <w:tcBorders>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温度</w:t>
            </w:r>
            <w:r>
              <w:rPr>
                <w:rFonts w:hint="eastAsia" w:ascii="宋体" w:hAnsi="宋体" w:cs="华光书宋_CNKI"/>
                <w:w w:val="105"/>
                <w:kern w:val="0"/>
                <w:sz w:val="21"/>
                <w:szCs w:val="21"/>
                <w:lang w:eastAsia="en-US"/>
              </w:rPr>
              <w:t>、</w:t>
            </w:r>
            <w:r>
              <w:rPr>
                <w:rFonts w:ascii="宋体" w:hAnsi="宋体" w:cs="华光书宋_CNKI"/>
                <w:w w:val="105"/>
                <w:kern w:val="0"/>
                <w:sz w:val="21"/>
                <w:szCs w:val="21"/>
                <w:lang w:eastAsia="en-US"/>
              </w:rPr>
              <w:t>湿度</w:t>
            </w:r>
          </w:p>
        </w:tc>
        <w:tc>
          <w:tcPr>
            <w:tcW w:w="4445" w:type="dxa"/>
            <w:tcBorders>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zh-CN"/>
              </w:rPr>
            </w:pPr>
            <w:r>
              <w:rPr>
                <w:rFonts w:ascii="宋体" w:hAnsi="宋体" w:cs="华光书宋_CNKI"/>
                <w:kern w:val="0"/>
                <w:sz w:val="21"/>
                <w:szCs w:val="21"/>
                <w:lang w:eastAsia="zh-CN"/>
              </w:rPr>
              <w:t>桥址区环境温度</w:t>
            </w:r>
            <w:r>
              <w:rPr>
                <w:rFonts w:hint="eastAsia" w:ascii="宋体" w:hAnsi="宋体" w:cs="华光书宋_CNKI"/>
                <w:w w:val="80"/>
                <w:kern w:val="0"/>
                <w:sz w:val="21"/>
                <w:szCs w:val="21"/>
                <w:lang w:eastAsia="zh-CN"/>
              </w:rPr>
              <w:t>、</w:t>
            </w:r>
            <w:r>
              <w:rPr>
                <w:rFonts w:ascii="宋体" w:hAnsi="宋体" w:cs="华光书宋_CNKI"/>
                <w:kern w:val="0"/>
                <w:sz w:val="21"/>
                <w:szCs w:val="21"/>
                <w:lang w:eastAsia="zh-CN"/>
              </w:rPr>
              <w:t>湿度</w:t>
            </w:r>
          </w:p>
        </w:tc>
        <w:tc>
          <w:tcPr>
            <w:tcW w:w="1567" w:type="dxa"/>
            <w:tcBorders>
              <w:left w:val="single" w:color="231F20" w:sz="4" w:space="0"/>
              <w:bottom w:val="single" w:color="231F20" w:sz="4" w:space="0"/>
            </w:tcBorders>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0" w:type="dxa"/>
            <w:vMerge w:val="continue"/>
            <w:tcBorders>
              <w:top w:val="nil"/>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1464" w:type="dxa"/>
            <w:vMerge w:val="continue"/>
            <w:tcBorders>
              <w:top w:val="nil"/>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p>
        </w:tc>
        <w:tc>
          <w:tcPr>
            <w:tcW w:w="4445"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zh-CN"/>
              </w:rPr>
            </w:pPr>
            <w:r>
              <w:rPr>
                <w:rFonts w:hint="eastAsia" w:ascii="宋体" w:hAnsi="宋体" w:cs="华光书宋_CNKI"/>
                <w:kern w:val="0"/>
                <w:sz w:val="21"/>
                <w:szCs w:val="21"/>
                <w:lang w:eastAsia="zh-CN"/>
              </w:rPr>
              <w:t>封闭箱梁</w:t>
            </w:r>
            <w:r>
              <w:rPr>
                <w:rFonts w:ascii="宋体" w:hAnsi="宋体" w:cs="华光书宋_CNKI"/>
                <w:kern w:val="0"/>
                <w:sz w:val="21"/>
                <w:szCs w:val="21"/>
                <w:lang w:eastAsia="zh-CN"/>
              </w:rPr>
              <w:t>内温度</w:t>
            </w:r>
            <w:r>
              <w:rPr>
                <w:rFonts w:hint="eastAsia" w:ascii="宋体" w:hAnsi="宋体" w:cs="华光书宋_CNKI"/>
                <w:w w:val="80"/>
                <w:kern w:val="0"/>
                <w:sz w:val="21"/>
                <w:szCs w:val="21"/>
                <w:lang w:eastAsia="zh-CN"/>
              </w:rPr>
              <w:t>、</w:t>
            </w:r>
            <w:r>
              <w:rPr>
                <w:rFonts w:ascii="宋体" w:hAnsi="宋体" w:cs="华光书宋_CNKI"/>
                <w:kern w:val="0"/>
                <w:sz w:val="21"/>
                <w:szCs w:val="21"/>
                <w:lang w:eastAsia="zh-CN"/>
              </w:rPr>
              <w:t>湿度</w:t>
            </w:r>
          </w:p>
        </w:tc>
        <w:tc>
          <w:tcPr>
            <w:tcW w:w="1567" w:type="dxa"/>
            <w:tcBorders>
              <w:top w:val="single" w:color="231F20" w:sz="4" w:space="0"/>
              <w:left w:val="single" w:color="231F20" w:sz="4" w:space="0"/>
              <w:bottom w:val="single" w:color="231F20" w:sz="4" w:space="0"/>
            </w:tcBorders>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0" w:type="dxa"/>
            <w:vMerge w:val="continue"/>
            <w:tcBorders>
              <w:top w:val="nil"/>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146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结冰</w:t>
            </w:r>
          </w:p>
        </w:tc>
        <w:tc>
          <w:tcPr>
            <w:tcW w:w="4445"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桥面结冰</w:t>
            </w:r>
          </w:p>
        </w:tc>
        <w:tc>
          <w:tcPr>
            <w:tcW w:w="1567" w:type="dxa"/>
            <w:tcBorders>
              <w:top w:val="single" w:color="231F20" w:sz="4" w:space="0"/>
              <w:left w:val="single" w:color="231F20" w:sz="4" w:space="0"/>
              <w:bottom w:val="single" w:color="231F20" w:sz="4" w:space="0"/>
            </w:tcBorders>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0" w:type="dxa"/>
            <w:vMerge w:val="restart"/>
            <w:tcBorders>
              <w:top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作用</w:t>
            </w:r>
          </w:p>
        </w:tc>
        <w:tc>
          <w:tcPr>
            <w:tcW w:w="1464" w:type="dxa"/>
            <w:vMerge w:val="restart"/>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车辆荷载</w:t>
            </w:r>
          </w:p>
        </w:tc>
        <w:tc>
          <w:tcPr>
            <w:tcW w:w="4445"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zh-CN"/>
              </w:rPr>
            </w:pPr>
            <w:r>
              <w:rPr>
                <w:rFonts w:ascii="宋体" w:hAnsi="宋体" w:cs="华光书宋_CNKI"/>
                <w:kern w:val="0"/>
                <w:sz w:val="21"/>
                <w:szCs w:val="21"/>
                <w:lang w:eastAsia="zh-CN"/>
              </w:rPr>
              <w:t>所有车道车重</w:t>
            </w:r>
            <w:r>
              <w:rPr>
                <w:rFonts w:hint="eastAsia" w:ascii="宋体" w:hAnsi="宋体" w:cs="华光书宋_CNKI"/>
                <w:w w:val="80"/>
                <w:kern w:val="0"/>
                <w:sz w:val="21"/>
                <w:szCs w:val="21"/>
                <w:lang w:eastAsia="zh-CN"/>
              </w:rPr>
              <w:t>、</w:t>
            </w:r>
            <w:r>
              <w:rPr>
                <w:rFonts w:ascii="宋体" w:hAnsi="宋体" w:cs="华光书宋_CNKI"/>
                <w:kern w:val="0"/>
                <w:sz w:val="21"/>
                <w:szCs w:val="21"/>
                <w:lang w:eastAsia="zh-CN"/>
              </w:rPr>
              <w:t>轴重</w:t>
            </w:r>
            <w:r>
              <w:rPr>
                <w:rFonts w:hint="eastAsia" w:ascii="宋体" w:hAnsi="宋体" w:cs="华光书宋_CNKI"/>
                <w:w w:val="80"/>
                <w:kern w:val="0"/>
                <w:sz w:val="21"/>
                <w:szCs w:val="21"/>
                <w:lang w:eastAsia="zh-CN"/>
              </w:rPr>
              <w:t>、</w:t>
            </w:r>
            <w:r>
              <w:rPr>
                <w:rFonts w:ascii="宋体" w:hAnsi="宋体" w:cs="华光书宋_CNKI"/>
                <w:kern w:val="0"/>
                <w:sz w:val="21"/>
                <w:szCs w:val="21"/>
                <w:lang w:eastAsia="zh-CN"/>
              </w:rPr>
              <w:t>轴数</w:t>
            </w:r>
            <w:r>
              <w:rPr>
                <w:rFonts w:hint="eastAsia" w:ascii="宋体" w:hAnsi="宋体" w:cs="华光书宋_CNKI"/>
                <w:w w:val="80"/>
                <w:kern w:val="0"/>
                <w:sz w:val="21"/>
                <w:szCs w:val="21"/>
                <w:lang w:eastAsia="zh-CN"/>
              </w:rPr>
              <w:t>、</w:t>
            </w:r>
            <w:r>
              <w:rPr>
                <w:rFonts w:ascii="宋体" w:hAnsi="宋体" w:cs="华光书宋_CNKI"/>
                <w:kern w:val="0"/>
                <w:sz w:val="21"/>
                <w:szCs w:val="21"/>
                <w:lang w:eastAsia="zh-CN"/>
              </w:rPr>
              <w:t>车速</w:t>
            </w:r>
          </w:p>
        </w:tc>
        <w:tc>
          <w:tcPr>
            <w:tcW w:w="1567" w:type="dxa"/>
            <w:tcBorders>
              <w:top w:val="single" w:color="231F20" w:sz="4" w:space="0"/>
              <w:left w:val="single" w:color="231F20" w:sz="4" w:space="0"/>
              <w:bottom w:val="single" w:color="231F20" w:sz="4" w:space="0"/>
            </w:tcBorders>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0" w:type="dxa"/>
            <w:vMerge w:val="continue"/>
            <w:tcBorders>
              <w:top w:val="nil"/>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1464" w:type="dxa"/>
            <w:vMerge w:val="continue"/>
            <w:tcBorders>
              <w:top w:val="nil"/>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p>
        </w:tc>
        <w:tc>
          <w:tcPr>
            <w:tcW w:w="4445"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所有车道车流量</w:t>
            </w:r>
          </w:p>
        </w:tc>
        <w:tc>
          <w:tcPr>
            <w:tcW w:w="1567" w:type="dxa"/>
            <w:tcBorders>
              <w:top w:val="single" w:color="231F20" w:sz="4" w:space="0"/>
              <w:left w:val="single" w:color="231F20" w:sz="4" w:space="0"/>
              <w:bottom w:val="single" w:color="231F20" w:sz="4" w:space="0"/>
            </w:tcBorders>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0" w:type="dxa"/>
            <w:vMerge w:val="continue"/>
            <w:tcBorders>
              <w:top w:val="nil"/>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1464" w:type="dxa"/>
            <w:vMerge w:val="continue"/>
            <w:tcBorders>
              <w:top w:val="nil"/>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p>
        </w:tc>
        <w:tc>
          <w:tcPr>
            <w:tcW w:w="4445"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zh-CN"/>
              </w:rPr>
            </w:pPr>
            <w:r>
              <w:rPr>
                <w:rFonts w:ascii="宋体" w:hAnsi="宋体" w:cs="华光书宋_CNKI"/>
                <w:w w:val="105"/>
                <w:kern w:val="0"/>
                <w:sz w:val="21"/>
                <w:szCs w:val="21"/>
                <w:lang w:eastAsia="zh-CN"/>
              </w:rPr>
              <w:t>所有车道的车辆空间分布视频图像</w:t>
            </w:r>
          </w:p>
        </w:tc>
        <w:tc>
          <w:tcPr>
            <w:tcW w:w="1567" w:type="dxa"/>
            <w:tcBorders>
              <w:top w:val="single" w:color="231F20" w:sz="4" w:space="0"/>
              <w:left w:val="single" w:color="231F20" w:sz="4" w:space="0"/>
              <w:bottom w:val="single" w:color="231F20" w:sz="4" w:space="0"/>
            </w:tcBorders>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0" w:type="dxa"/>
            <w:vMerge w:val="continue"/>
            <w:tcBorders>
              <w:top w:val="nil"/>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1464" w:type="dxa"/>
            <w:tcBorders>
              <w:top w:val="nil"/>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人群</w:t>
            </w:r>
            <w:r>
              <w:rPr>
                <w:rFonts w:ascii="宋体" w:hAnsi="宋体" w:cs="华光书宋_CNKI"/>
                <w:w w:val="105"/>
                <w:kern w:val="0"/>
                <w:sz w:val="21"/>
                <w:szCs w:val="21"/>
                <w:lang w:eastAsia="en-US"/>
              </w:rPr>
              <w:t>荷载</w:t>
            </w:r>
          </w:p>
        </w:tc>
        <w:tc>
          <w:tcPr>
            <w:tcW w:w="4445"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人流量</w:t>
            </w:r>
          </w:p>
        </w:tc>
        <w:tc>
          <w:tcPr>
            <w:tcW w:w="1567" w:type="dxa"/>
            <w:tcBorders>
              <w:top w:val="single" w:color="231F20" w:sz="4" w:space="0"/>
              <w:left w:val="single" w:color="231F20" w:sz="4" w:space="0"/>
              <w:bottom w:val="single" w:color="231F20" w:sz="4" w:space="0"/>
            </w:tcBorders>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0" w:type="dxa"/>
            <w:vMerge w:val="continue"/>
            <w:tcBorders>
              <w:top w:val="nil"/>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146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风速</w:t>
            </w:r>
            <w:r>
              <w:rPr>
                <w:rFonts w:hint="eastAsia" w:ascii="宋体" w:hAnsi="宋体" w:cs="华光书宋_CNKI"/>
                <w:w w:val="105"/>
                <w:kern w:val="0"/>
                <w:sz w:val="21"/>
                <w:szCs w:val="21"/>
                <w:lang w:eastAsia="en-US"/>
              </w:rPr>
              <w:t>、</w:t>
            </w:r>
            <w:r>
              <w:rPr>
                <w:rFonts w:ascii="宋体" w:hAnsi="宋体" w:cs="华光书宋_CNKI"/>
                <w:w w:val="105"/>
                <w:kern w:val="0"/>
                <w:sz w:val="21"/>
                <w:szCs w:val="21"/>
                <w:lang w:eastAsia="en-US"/>
              </w:rPr>
              <w:t>风向</w:t>
            </w:r>
          </w:p>
        </w:tc>
        <w:tc>
          <w:tcPr>
            <w:tcW w:w="4445"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kern w:val="0"/>
                <w:sz w:val="21"/>
                <w:szCs w:val="21"/>
                <w:lang w:eastAsia="en-US"/>
              </w:rPr>
              <w:t>桥面风速</w:t>
            </w:r>
            <w:r>
              <w:rPr>
                <w:rFonts w:hint="eastAsia" w:ascii="宋体" w:hAnsi="宋体" w:cs="华光书宋_CNKI"/>
                <w:w w:val="80"/>
                <w:kern w:val="0"/>
                <w:sz w:val="21"/>
                <w:szCs w:val="21"/>
                <w:lang w:eastAsia="en-US"/>
              </w:rPr>
              <w:t>、</w:t>
            </w:r>
            <w:r>
              <w:rPr>
                <w:rFonts w:ascii="宋体" w:hAnsi="宋体" w:cs="华光书宋_CNKI"/>
                <w:kern w:val="0"/>
                <w:sz w:val="21"/>
                <w:szCs w:val="21"/>
                <w:lang w:eastAsia="en-US"/>
              </w:rPr>
              <w:t>风向</w:t>
            </w:r>
            <w:r>
              <w:rPr>
                <w:rFonts w:ascii="宋体" w:hAnsi="宋体" w:cs="华光书宋_CNKI"/>
                <w:kern w:val="0"/>
                <w:sz w:val="21"/>
                <w:szCs w:val="21"/>
                <w:vertAlign w:val="superscript"/>
                <w:lang w:eastAsia="en-US"/>
              </w:rPr>
              <w:t>a</w:t>
            </w:r>
          </w:p>
        </w:tc>
        <w:tc>
          <w:tcPr>
            <w:tcW w:w="1567" w:type="dxa"/>
            <w:tcBorders>
              <w:top w:val="single" w:color="231F20" w:sz="4" w:space="0"/>
              <w:left w:val="single" w:color="231F20" w:sz="4" w:space="0"/>
              <w:bottom w:val="single" w:color="231F20" w:sz="4" w:space="0"/>
            </w:tcBorders>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0" w:type="dxa"/>
            <w:vMerge w:val="continue"/>
            <w:tcBorders>
              <w:top w:val="nil"/>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146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结构温度</w:t>
            </w:r>
          </w:p>
        </w:tc>
        <w:tc>
          <w:tcPr>
            <w:tcW w:w="4445"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zh-CN"/>
              </w:rPr>
            </w:pPr>
            <w:r>
              <w:rPr>
                <w:rFonts w:ascii="宋体" w:hAnsi="宋体" w:cs="华光书宋_CNKI"/>
                <w:w w:val="105"/>
                <w:kern w:val="0"/>
                <w:sz w:val="21"/>
                <w:szCs w:val="21"/>
                <w:lang w:eastAsia="zh-CN"/>
              </w:rPr>
              <w:t>混凝土或钢结构构件温度</w:t>
            </w:r>
          </w:p>
        </w:tc>
        <w:tc>
          <w:tcPr>
            <w:tcW w:w="1567" w:type="dxa"/>
            <w:tcBorders>
              <w:top w:val="single" w:color="231F20" w:sz="4" w:space="0"/>
              <w:left w:val="single" w:color="231F20" w:sz="4" w:space="0"/>
              <w:bottom w:val="single" w:color="231F20" w:sz="4" w:space="0"/>
            </w:tcBorders>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0" w:type="dxa"/>
            <w:vMerge w:val="continue"/>
            <w:tcBorders>
              <w:top w:val="nil"/>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1464" w:type="dxa"/>
            <w:vMerge w:val="restart"/>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船舶撞击</w:t>
            </w:r>
          </w:p>
        </w:tc>
        <w:tc>
          <w:tcPr>
            <w:tcW w:w="4445"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桥墩加速度</w:t>
            </w:r>
          </w:p>
        </w:tc>
        <w:tc>
          <w:tcPr>
            <w:tcW w:w="1567" w:type="dxa"/>
            <w:tcBorders>
              <w:top w:val="single" w:color="231F20" w:sz="4" w:space="0"/>
              <w:left w:val="single" w:color="231F20" w:sz="4" w:space="0"/>
              <w:bottom w:val="single" w:color="231F20" w:sz="4" w:space="0"/>
            </w:tcBorders>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0" w:type="dxa"/>
            <w:vMerge w:val="continue"/>
            <w:tcBorders>
              <w:top w:val="nil"/>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1464" w:type="dxa"/>
            <w:vMerge w:val="continue"/>
            <w:tcBorders>
              <w:top w:val="nil"/>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p>
        </w:tc>
        <w:tc>
          <w:tcPr>
            <w:tcW w:w="4445"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视频图像</w:t>
            </w:r>
          </w:p>
        </w:tc>
        <w:tc>
          <w:tcPr>
            <w:tcW w:w="1567" w:type="dxa"/>
            <w:tcBorders>
              <w:top w:val="single" w:color="231F20" w:sz="4" w:space="0"/>
              <w:left w:val="single" w:color="231F20" w:sz="4" w:space="0"/>
              <w:bottom w:val="single" w:color="231F20" w:sz="4" w:space="0"/>
            </w:tcBorders>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0" w:type="dxa"/>
            <w:vMerge w:val="continue"/>
            <w:tcBorders>
              <w:top w:val="nil"/>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1464" w:type="dxa"/>
            <w:vMerge w:val="restart"/>
            <w:tcBorders>
              <w:top w:val="nil"/>
              <w:left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车辆</w:t>
            </w:r>
            <w:r>
              <w:rPr>
                <w:rFonts w:ascii="宋体" w:hAnsi="宋体" w:cs="华光书宋_CNKI"/>
                <w:w w:val="105"/>
                <w:kern w:val="0"/>
                <w:sz w:val="21"/>
                <w:szCs w:val="21"/>
                <w:lang w:eastAsia="en-US"/>
              </w:rPr>
              <w:t>撞击</w:t>
            </w:r>
          </w:p>
        </w:tc>
        <w:tc>
          <w:tcPr>
            <w:tcW w:w="4445"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桥墩加速度</w:t>
            </w:r>
          </w:p>
        </w:tc>
        <w:tc>
          <w:tcPr>
            <w:tcW w:w="1567" w:type="dxa"/>
            <w:tcBorders>
              <w:top w:val="single" w:color="231F20" w:sz="4" w:space="0"/>
              <w:left w:val="single" w:color="231F20" w:sz="4" w:space="0"/>
              <w:bottom w:val="single" w:color="231F20" w:sz="4" w:space="0"/>
            </w:tcBorders>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0" w:type="dxa"/>
            <w:vMerge w:val="continue"/>
            <w:tcBorders>
              <w:top w:val="nil"/>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1464" w:type="dxa"/>
            <w:vMerge w:val="continue"/>
            <w:tcBorders>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p>
        </w:tc>
        <w:tc>
          <w:tcPr>
            <w:tcW w:w="4445"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视频图像</w:t>
            </w:r>
          </w:p>
        </w:tc>
        <w:tc>
          <w:tcPr>
            <w:tcW w:w="1567" w:type="dxa"/>
            <w:tcBorders>
              <w:top w:val="single" w:color="231F20" w:sz="4" w:space="0"/>
              <w:left w:val="single" w:color="231F20" w:sz="4" w:space="0"/>
              <w:bottom w:val="single" w:color="231F20" w:sz="4" w:space="0"/>
            </w:tcBorders>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0" w:type="dxa"/>
            <w:vMerge w:val="continue"/>
            <w:tcBorders>
              <w:top w:val="nil"/>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1464" w:type="dxa"/>
            <w:vMerge w:val="restart"/>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地震</w:t>
            </w:r>
          </w:p>
        </w:tc>
        <w:tc>
          <w:tcPr>
            <w:tcW w:w="4445"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桥岸地表场地加速度</w:t>
            </w:r>
          </w:p>
        </w:tc>
        <w:tc>
          <w:tcPr>
            <w:tcW w:w="1567" w:type="dxa"/>
            <w:tcBorders>
              <w:top w:val="single" w:color="231F20" w:sz="4" w:space="0"/>
              <w:left w:val="single" w:color="231F20" w:sz="4" w:space="0"/>
              <w:bottom w:val="single" w:color="231F20" w:sz="4" w:space="0"/>
            </w:tcBorders>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132" w:hRule="atLeast"/>
        </w:trPr>
        <w:tc>
          <w:tcPr>
            <w:tcW w:w="830" w:type="dxa"/>
            <w:vMerge w:val="continue"/>
            <w:tcBorders>
              <w:top w:val="nil"/>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1464" w:type="dxa"/>
            <w:vMerge w:val="continue"/>
            <w:tcBorders>
              <w:top w:val="nil"/>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4445"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zh-CN"/>
              </w:rPr>
            </w:pPr>
            <w:r>
              <w:rPr>
                <w:rFonts w:ascii="宋体" w:hAnsi="宋体" w:cs="华光书宋_CNKI"/>
                <w:w w:val="105"/>
                <w:kern w:val="0"/>
                <w:sz w:val="21"/>
                <w:szCs w:val="21"/>
                <w:lang w:eastAsia="zh-CN"/>
              </w:rPr>
              <w:t>承台顶或桥墩底部加速度</w:t>
            </w:r>
          </w:p>
          <w:p>
            <w:pPr>
              <w:autoSpaceDE w:val="0"/>
              <w:autoSpaceDN w:val="0"/>
              <w:spacing w:line="240" w:lineRule="auto"/>
              <w:ind w:firstLine="0" w:firstLineChars="0"/>
              <w:jc w:val="center"/>
              <w:rPr>
                <w:rFonts w:ascii="宋体" w:hAnsi="宋体" w:cs="华光书宋_CNKI"/>
                <w:kern w:val="0"/>
                <w:sz w:val="21"/>
                <w:szCs w:val="21"/>
                <w:lang w:eastAsia="zh-CN"/>
              </w:rPr>
            </w:pPr>
            <w:r>
              <w:rPr>
                <w:rFonts w:hint="eastAsia" w:ascii="宋体" w:hAnsi="宋体" w:cs="华光书宋_CNKI"/>
                <w:w w:val="135"/>
                <w:kern w:val="0"/>
                <w:sz w:val="21"/>
                <w:szCs w:val="21"/>
                <w:lang w:eastAsia="zh-CN"/>
              </w:rPr>
              <w:t>（</w:t>
            </w:r>
            <w:r>
              <w:rPr>
                <w:rFonts w:ascii="宋体" w:hAnsi="宋体" w:cs="华光书宋_CNKI"/>
                <w:w w:val="110"/>
                <w:kern w:val="0"/>
                <w:sz w:val="21"/>
                <w:szCs w:val="21"/>
                <w:lang w:eastAsia="zh-CN"/>
              </w:rPr>
              <w:t>抗震设防烈度为</w:t>
            </w:r>
            <w:r>
              <w:rPr>
                <w:rFonts w:hint="eastAsia" w:ascii="宋体" w:hAnsi="宋体" w:cs="华光书宋_CNKI"/>
                <w:w w:val="110"/>
                <w:kern w:val="0"/>
                <w:sz w:val="21"/>
                <w:szCs w:val="21"/>
                <w:lang w:eastAsia="zh-CN"/>
              </w:rPr>
              <w:t>7</w:t>
            </w:r>
            <w:r>
              <w:rPr>
                <w:rFonts w:ascii="宋体" w:hAnsi="宋体" w:cs="华光书宋_CNKI"/>
                <w:w w:val="110"/>
                <w:kern w:val="0"/>
                <w:sz w:val="21"/>
                <w:szCs w:val="21"/>
                <w:lang w:eastAsia="zh-CN"/>
              </w:rPr>
              <w:t>度及以上</w:t>
            </w:r>
            <w:r>
              <w:rPr>
                <w:rFonts w:hint="eastAsia" w:ascii="宋体" w:hAnsi="宋体" w:cs="华光书宋_CNKI"/>
                <w:w w:val="135"/>
                <w:kern w:val="0"/>
                <w:sz w:val="21"/>
                <w:szCs w:val="21"/>
                <w:lang w:eastAsia="zh-CN"/>
              </w:rPr>
              <w:t>）</w:t>
            </w:r>
          </w:p>
        </w:tc>
        <w:tc>
          <w:tcPr>
            <w:tcW w:w="1567" w:type="dxa"/>
            <w:tcBorders>
              <w:top w:val="single" w:color="231F20" w:sz="4" w:space="0"/>
              <w:left w:val="single" w:color="231F20" w:sz="4" w:space="0"/>
              <w:bottom w:val="single" w:color="231F20" w:sz="4" w:space="0"/>
            </w:tcBorders>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69" w:hRule="atLeast"/>
        </w:trPr>
        <w:tc>
          <w:tcPr>
            <w:tcW w:w="830" w:type="dxa"/>
            <w:vMerge w:val="continue"/>
            <w:tcBorders>
              <w:top w:val="nil"/>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1464" w:type="dxa"/>
            <w:vMerge w:val="continue"/>
            <w:tcBorders>
              <w:top w:val="nil"/>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4445"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zh-CN"/>
              </w:rPr>
            </w:pPr>
            <w:r>
              <w:rPr>
                <w:rFonts w:ascii="宋体" w:hAnsi="宋体" w:cs="华光书宋_CNKI"/>
                <w:w w:val="105"/>
                <w:kern w:val="0"/>
                <w:sz w:val="21"/>
                <w:szCs w:val="21"/>
                <w:lang w:eastAsia="zh-CN"/>
              </w:rPr>
              <w:t>承台顶或桥墩底部加速度</w:t>
            </w:r>
          </w:p>
          <w:p>
            <w:pPr>
              <w:autoSpaceDE w:val="0"/>
              <w:autoSpaceDN w:val="0"/>
              <w:spacing w:line="240" w:lineRule="auto"/>
              <w:ind w:firstLine="0" w:firstLineChars="0"/>
              <w:jc w:val="center"/>
              <w:rPr>
                <w:rFonts w:ascii="宋体" w:hAnsi="宋体" w:cs="华光书宋_CNKI"/>
                <w:kern w:val="0"/>
                <w:sz w:val="21"/>
                <w:szCs w:val="21"/>
                <w:lang w:eastAsia="zh-CN"/>
              </w:rPr>
            </w:pPr>
            <w:r>
              <w:rPr>
                <w:rFonts w:hint="eastAsia" w:ascii="宋体" w:hAnsi="宋体" w:cs="华光书宋_CNKI"/>
                <w:w w:val="135"/>
                <w:kern w:val="0"/>
                <w:sz w:val="21"/>
                <w:szCs w:val="21"/>
                <w:lang w:eastAsia="zh-CN"/>
              </w:rPr>
              <w:t>（</w:t>
            </w:r>
            <w:r>
              <w:rPr>
                <w:rFonts w:ascii="宋体" w:hAnsi="宋体" w:cs="华光书宋_CNKI"/>
                <w:w w:val="110"/>
                <w:kern w:val="0"/>
                <w:sz w:val="21"/>
                <w:szCs w:val="21"/>
                <w:lang w:eastAsia="zh-CN"/>
              </w:rPr>
              <w:t>抗震设防烈度为</w:t>
            </w:r>
            <w:r>
              <w:rPr>
                <w:rFonts w:hint="eastAsia" w:ascii="宋体" w:hAnsi="宋体" w:cs="华光书宋_CNKI"/>
                <w:w w:val="110"/>
                <w:kern w:val="0"/>
                <w:sz w:val="21"/>
                <w:szCs w:val="21"/>
                <w:lang w:eastAsia="zh-CN"/>
              </w:rPr>
              <w:t>7</w:t>
            </w:r>
            <w:r>
              <w:rPr>
                <w:rFonts w:ascii="宋体" w:hAnsi="宋体" w:cs="华光书宋_CNKI"/>
                <w:w w:val="110"/>
                <w:kern w:val="0"/>
                <w:sz w:val="21"/>
                <w:szCs w:val="21"/>
                <w:lang w:eastAsia="zh-CN"/>
              </w:rPr>
              <w:t>度以下</w:t>
            </w:r>
            <w:r>
              <w:rPr>
                <w:rFonts w:hint="eastAsia" w:ascii="宋体" w:hAnsi="宋体" w:cs="华光书宋_CNKI"/>
                <w:w w:val="135"/>
                <w:kern w:val="0"/>
                <w:sz w:val="21"/>
                <w:szCs w:val="21"/>
                <w:lang w:eastAsia="zh-CN"/>
              </w:rPr>
              <w:t>）</w:t>
            </w:r>
          </w:p>
        </w:tc>
        <w:tc>
          <w:tcPr>
            <w:tcW w:w="1567" w:type="dxa"/>
            <w:tcBorders>
              <w:top w:val="single" w:color="231F20" w:sz="4" w:space="0"/>
              <w:left w:val="single" w:color="231F20" w:sz="4" w:space="0"/>
              <w:bottom w:val="single" w:color="231F20" w:sz="4" w:space="0"/>
            </w:tcBorders>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0" w:type="dxa"/>
            <w:vMerge w:val="restart"/>
            <w:tcBorders>
              <w:top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结构</w:t>
            </w:r>
          </w:p>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响应</w:t>
            </w:r>
          </w:p>
        </w:tc>
        <w:tc>
          <w:tcPr>
            <w:tcW w:w="1464" w:type="dxa"/>
            <w:vMerge w:val="restart"/>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位移</w:t>
            </w:r>
          </w:p>
        </w:tc>
        <w:tc>
          <w:tcPr>
            <w:tcW w:w="4445"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主梁竖向位移</w:t>
            </w:r>
          </w:p>
        </w:tc>
        <w:tc>
          <w:tcPr>
            <w:tcW w:w="1567" w:type="dxa"/>
            <w:tcBorders>
              <w:top w:val="single" w:color="231F20" w:sz="4" w:space="0"/>
              <w:left w:val="single" w:color="231F20" w:sz="4" w:space="0"/>
              <w:bottom w:val="single" w:color="231F20" w:sz="4" w:space="0"/>
            </w:tcBorders>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0" w:type="dxa"/>
            <w:vMerge w:val="continue"/>
            <w:tcBorders>
              <w:top w:val="nil"/>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1464" w:type="dxa"/>
            <w:vMerge w:val="continue"/>
            <w:tcBorders>
              <w:top w:val="nil"/>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4445"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支座位移</w:t>
            </w:r>
          </w:p>
        </w:tc>
        <w:tc>
          <w:tcPr>
            <w:tcW w:w="1567" w:type="dxa"/>
            <w:tcBorders>
              <w:top w:val="single" w:color="231F20" w:sz="4" w:space="0"/>
              <w:left w:val="single" w:color="231F20" w:sz="4" w:space="0"/>
              <w:bottom w:val="single" w:color="231F20" w:sz="4" w:space="0"/>
            </w:tcBorders>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0" w:type="dxa"/>
            <w:vMerge w:val="continue"/>
            <w:tcBorders>
              <w:top w:val="nil"/>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1464" w:type="dxa"/>
            <w:vMerge w:val="continue"/>
            <w:tcBorders>
              <w:top w:val="nil"/>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4445"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梁端纵向位移</w:t>
            </w:r>
          </w:p>
        </w:tc>
        <w:tc>
          <w:tcPr>
            <w:tcW w:w="1567" w:type="dxa"/>
            <w:tcBorders>
              <w:top w:val="single" w:color="231F20" w:sz="4" w:space="0"/>
              <w:left w:val="single" w:color="231F20" w:sz="4" w:space="0"/>
              <w:bottom w:val="single" w:color="231F20" w:sz="4" w:space="0"/>
            </w:tcBorders>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0" w:type="dxa"/>
            <w:vMerge w:val="continue"/>
            <w:tcBorders>
              <w:top w:val="nil"/>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1464" w:type="dxa"/>
            <w:vMerge w:val="continue"/>
            <w:tcBorders>
              <w:top w:val="nil"/>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4445"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高墩墩顶位移</w:t>
            </w:r>
          </w:p>
        </w:tc>
        <w:tc>
          <w:tcPr>
            <w:tcW w:w="1567" w:type="dxa"/>
            <w:tcBorders>
              <w:top w:val="single" w:color="231F20" w:sz="4" w:space="0"/>
              <w:left w:val="single" w:color="231F20" w:sz="4" w:space="0"/>
              <w:bottom w:val="single" w:color="231F20" w:sz="4" w:space="0"/>
            </w:tcBorders>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0" w:type="dxa"/>
            <w:vMerge w:val="continue"/>
            <w:tcBorders>
              <w:top w:val="nil"/>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146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应变</w:t>
            </w:r>
          </w:p>
        </w:tc>
        <w:tc>
          <w:tcPr>
            <w:tcW w:w="4445"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主梁关键截面应变</w:t>
            </w:r>
          </w:p>
        </w:tc>
        <w:tc>
          <w:tcPr>
            <w:tcW w:w="1567" w:type="dxa"/>
            <w:tcBorders>
              <w:top w:val="single" w:color="231F20" w:sz="4" w:space="0"/>
              <w:left w:val="single" w:color="231F20" w:sz="4" w:space="0"/>
              <w:bottom w:val="single" w:color="231F20" w:sz="4" w:space="0"/>
            </w:tcBorders>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0" w:type="dxa"/>
            <w:vMerge w:val="continue"/>
            <w:tcBorders>
              <w:top w:val="nil"/>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146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支座反力</w:t>
            </w:r>
          </w:p>
        </w:tc>
        <w:tc>
          <w:tcPr>
            <w:tcW w:w="4445"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支座反力</w:t>
            </w:r>
          </w:p>
        </w:tc>
        <w:tc>
          <w:tcPr>
            <w:tcW w:w="1567" w:type="dxa"/>
            <w:tcBorders>
              <w:top w:val="single" w:color="231F20" w:sz="4" w:space="0"/>
              <w:left w:val="single" w:color="231F20" w:sz="4" w:space="0"/>
              <w:bottom w:val="single" w:color="231F20" w:sz="4" w:space="0"/>
            </w:tcBorders>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0" w:type="dxa"/>
            <w:vMerge w:val="continue"/>
            <w:tcBorders>
              <w:top w:val="nil"/>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1464" w:type="dxa"/>
            <w:vMerge w:val="restart"/>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振动</w:t>
            </w:r>
          </w:p>
        </w:tc>
        <w:tc>
          <w:tcPr>
            <w:tcW w:w="4445"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主梁竖向振动加速度</w:t>
            </w:r>
          </w:p>
        </w:tc>
        <w:tc>
          <w:tcPr>
            <w:tcW w:w="1567" w:type="dxa"/>
            <w:tcBorders>
              <w:top w:val="single" w:color="231F20" w:sz="4" w:space="0"/>
              <w:left w:val="single" w:color="231F20" w:sz="4" w:space="0"/>
              <w:bottom w:val="single" w:color="231F20" w:sz="4" w:space="0"/>
            </w:tcBorders>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0" w:type="dxa"/>
            <w:vMerge w:val="continue"/>
            <w:tcBorders>
              <w:top w:val="nil"/>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1464" w:type="dxa"/>
            <w:vMerge w:val="continue"/>
            <w:tcBorders>
              <w:top w:val="nil"/>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4445"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主梁横向振动加速度</w:t>
            </w:r>
          </w:p>
        </w:tc>
        <w:tc>
          <w:tcPr>
            <w:tcW w:w="1567" w:type="dxa"/>
            <w:tcBorders>
              <w:top w:val="single" w:color="231F20" w:sz="4" w:space="0"/>
              <w:left w:val="single" w:color="231F20" w:sz="4" w:space="0"/>
              <w:bottom w:val="single" w:color="231F20" w:sz="4" w:space="0"/>
            </w:tcBorders>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5" w:hRule="atLeast"/>
        </w:trPr>
        <w:tc>
          <w:tcPr>
            <w:tcW w:w="830" w:type="dxa"/>
            <w:vMerge w:val="restart"/>
            <w:tcBorders>
              <w:top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结构</w:t>
            </w:r>
          </w:p>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变化</w:t>
            </w:r>
          </w:p>
        </w:tc>
        <w:tc>
          <w:tcPr>
            <w:tcW w:w="146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基础冲刷</w:t>
            </w:r>
          </w:p>
        </w:tc>
        <w:tc>
          <w:tcPr>
            <w:tcW w:w="4445"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基础冲刷深度</w:t>
            </w:r>
          </w:p>
        </w:tc>
        <w:tc>
          <w:tcPr>
            <w:tcW w:w="1567" w:type="dxa"/>
            <w:tcBorders>
              <w:top w:val="single" w:color="231F20" w:sz="4" w:space="0"/>
              <w:left w:val="single" w:color="231F20" w:sz="4" w:space="0"/>
              <w:bottom w:val="single" w:color="231F20" w:sz="4" w:space="0"/>
            </w:tcBorders>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0" w:type="dxa"/>
            <w:vMerge w:val="continue"/>
            <w:tcBorders>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146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基础</w:t>
            </w:r>
            <w:r>
              <w:rPr>
                <w:rFonts w:ascii="宋体" w:hAnsi="宋体" w:cs="华光书宋_CNKI"/>
                <w:w w:val="105"/>
                <w:kern w:val="0"/>
                <w:sz w:val="21"/>
                <w:szCs w:val="21"/>
                <w:lang w:eastAsia="en-US"/>
              </w:rPr>
              <w:t>沉降</w:t>
            </w:r>
          </w:p>
        </w:tc>
        <w:tc>
          <w:tcPr>
            <w:tcW w:w="4445"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基础沉降</w:t>
            </w:r>
            <w:r>
              <w:rPr>
                <w:rFonts w:ascii="宋体" w:hAnsi="宋体" w:cs="华光书宋_CNKI"/>
                <w:w w:val="105"/>
                <w:kern w:val="0"/>
                <w:sz w:val="21"/>
                <w:szCs w:val="21"/>
                <w:lang w:eastAsia="en-US"/>
              </w:rPr>
              <w:t>量</w:t>
            </w:r>
          </w:p>
        </w:tc>
        <w:tc>
          <w:tcPr>
            <w:tcW w:w="1567" w:type="dxa"/>
            <w:tcBorders>
              <w:top w:val="single" w:color="231F20" w:sz="4" w:space="0"/>
              <w:left w:val="single" w:color="231F20" w:sz="4" w:space="0"/>
              <w:bottom w:val="single" w:color="231F20" w:sz="4" w:space="0"/>
            </w:tcBorders>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0" w:type="dxa"/>
            <w:vMerge w:val="continue"/>
            <w:tcBorders>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146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线形</w:t>
            </w:r>
          </w:p>
        </w:tc>
        <w:tc>
          <w:tcPr>
            <w:tcW w:w="4445"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主梁竖向</w:t>
            </w:r>
            <w:r>
              <w:rPr>
                <w:rFonts w:ascii="宋体" w:hAnsi="宋体" w:cs="华光书宋_CNKI"/>
                <w:w w:val="105"/>
                <w:kern w:val="0"/>
                <w:sz w:val="21"/>
                <w:szCs w:val="21"/>
                <w:lang w:eastAsia="en-US"/>
              </w:rPr>
              <w:t>线形</w:t>
            </w:r>
          </w:p>
        </w:tc>
        <w:tc>
          <w:tcPr>
            <w:tcW w:w="1567" w:type="dxa"/>
            <w:tcBorders>
              <w:top w:val="single" w:color="231F20" w:sz="4" w:space="0"/>
              <w:left w:val="single" w:color="231F20" w:sz="4" w:space="0"/>
              <w:bottom w:val="single" w:color="231F20" w:sz="4" w:space="0"/>
            </w:tcBorders>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0" w:type="dxa"/>
            <w:vMerge w:val="continue"/>
            <w:tcBorders>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146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伸缩缝变位</w:t>
            </w:r>
          </w:p>
        </w:tc>
        <w:tc>
          <w:tcPr>
            <w:tcW w:w="4445"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伸缩缝宽度</w:t>
            </w:r>
          </w:p>
        </w:tc>
        <w:tc>
          <w:tcPr>
            <w:tcW w:w="1567" w:type="dxa"/>
            <w:tcBorders>
              <w:top w:val="single" w:color="231F20" w:sz="4" w:space="0"/>
              <w:left w:val="single" w:color="231F20" w:sz="4" w:space="0"/>
              <w:bottom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0" w:type="dxa"/>
            <w:vMerge w:val="continue"/>
            <w:tcBorders>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1464" w:type="dxa"/>
            <w:vMerge w:val="restart"/>
            <w:tcBorders>
              <w:top w:val="single" w:color="231F20" w:sz="4" w:space="0"/>
              <w:left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裂缝</w:t>
            </w:r>
          </w:p>
        </w:tc>
        <w:tc>
          <w:tcPr>
            <w:tcW w:w="4445"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zh-CN"/>
              </w:rPr>
              <w:t>混凝土结构</w:t>
            </w:r>
            <w:r>
              <w:rPr>
                <w:rFonts w:hint="eastAsia" w:ascii="宋体" w:hAnsi="宋体" w:cs="华光书宋_CNKI"/>
                <w:w w:val="105"/>
                <w:kern w:val="0"/>
                <w:sz w:val="21"/>
                <w:szCs w:val="21"/>
                <w:lang w:eastAsia="zh-CN"/>
              </w:rPr>
              <w:t>结构性</w:t>
            </w:r>
            <w:r>
              <w:rPr>
                <w:rFonts w:ascii="宋体" w:hAnsi="宋体" w:cs="华光书宋_CNKI"/>
                <w:w w:val="105"/>
                <w:kern w:val="0"/>
                <w:sz w:val="21"/>
                <w:szCs w:val="21"/>
                <w:lang w:eastAsia="zh-CN"/>
              </w:rPr>
              <w:t>裂缝</w:t>
            </w:r>
          </w:p>
        </w:tc>
        <w:tc>
          <w:tcPr>
            <w:tcW w:w="1567" w:type="dxa"/>
            <w:tcBorders>
              <w:top w:val="single" w:color="231F20" w:sz="4" w:space="0"/>
              <w:left w:val="single" w:color="231F20" w:sz="4" w:space="0"/>
              <w:bottom w:val="single" w:color="231F20" w:sz="4" w:space="0"/>
            </w:tcBorders>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0" w:type="dxa"/>
            <w:vMerge w:val="continue"/>
            <w:tcBorders>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1464" w:type="dxa"/>
            <w:vMerge w:val="continue"/>
            <w:tcBorders>
              <w:top w:val="nil"/>
              <w:left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p>
        </w:tc>
        <w:tc>
          <w:tcPr>
            <w:tcW w:w="4445" w:type="dxa"/>
            <w:tcBorders>
              <w:top w:val="single" w:color="231F20" w:sz="4" w:space="0"/>
              <w:left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钢结构</w:t>
            </w:r>
            <w:r>
              <w:rPr>
                <w:rFonts w:hint="eastAsia" w:ascii="宋体" w:hAnsi="宋体" w:cs="华光书宋_CNKI"/>
                <w:w w:val="105"/>
                <w:kern w:val="0"/>
                <w:sz w:val="21"/>
                <w:szCs w:val="21"/>
                <w:lang w:eastAsia="en-US"/>
              </w:rPr>
              <w:t>结构性</w:t>
            </w:r>
            <w:r>
              <w:rPr>
                <w:rFonts w:ascii="宋体" w:hAnsi="宋体" w:cs="华光书宋_CNKI"/>
                <w:w w:val="105"/>
                <w:kern w:val="0"/>
                <w:sz w:val="21"/>
                <w:szCs w:val="21"/>
                <w:lang w:eastAsia="en-US"/>
              </w:rPr>
              <w:t>裂缝</w:t>
            </w:r>
          </w:p>
        </w:tc>
        <w:tc>
          <w:tcPr>
            <w:tcW w:w="1567" w:type="dxa"/>
            <w:tcBorders>
              <w:top w:val="single" w:color="231F20" w:sz="4" w:space="0"/>
              <w:left w:val="single" w:color="231F20" w:sz="4" w:space="0"/>
            </w:tcBorders>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0" w:type="dxa"/>
            <w:vMerge w:val="continue"/>
            <w:tcBorders>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p>
        </w:tc>
        <w:tc>
          <w:tcPr>
            <w:tcW w:w="1464" w:type="dxa"/>
            <w:vMerge w:val="restart"/>
            <w:tcBorders>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腐蚀</w:t>
            </w:r>
          </w:p>
        </w:tc>
        <w:tc>
          <w:tcPr>
            <w:tcW w:w="4445" w:type="dxa"/>
            <w:tcBorders>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zh-CN"/>
              </w:rPr>
              <w:t>墩身</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承台混凝土氯离子浓度</w:t>
            </w:r>
          </w:p>
        </w:tc>
        <w:tc>
          <w:tcPr>
            <w:tcW w:w="1567" w:type="dxa"/>
            <w:tcBorders>
              <w:left w:val="single" w:color="231F20" w:sz="4" w:space="0"/>
              <w:bottom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0" w:type="dxa"/>
            <w:vMerge w:val="continue"/>
            <w:tcBorders>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1464" w:type="dxa"/>
            <w:vMerge w:val="continue"/>
            <w:tcBorders>
              <w:top w:val="nil"/>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p>
        </w:tc>
        <w:tc>
          <w:tcPr>
            <w:tcW w:w="4445"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zh-CN"/>
              </w:rPr>
              <w:t>墩身</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承台混凝土氯离子侵蚀深度</w:t>
            </w:r>
          </w:p>
        </w:tc>
        <w:tc>
          <w:tcPr>
            <w:tcW w:w="1567" w:type="dxa"/>
            <w:tcBorders>
              <w:top w:val="single" w:color="231F20" w:sz="4" w:space="0"/>
              <w:left w:val="single" w:color="231F20" w:sz="4" w:space="0"/>
              <w:bottom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0" w:type="dxa"/>
            <w:vMerge w:val="continue"/>
            <w:tcBorders>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146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预应力</w:t>
            </w:r>
          </w:p>
        </w:tc>
        <w:tc>
          <w:tcPr>
            <w:tcW w:w="4445"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体外预应力</w:t>
            </w:r>
          </w:p>
        </w:tc>
        <w:tc>
          <w:tcPr>
            <w:tcW w:w="1567" w:type="dxa"/>
            <w:tcBorders>
              <w:top w:val="single" w:color="231F20" w:sz="4" w:space="0"/>
              <w:left w:val="single" w:color="231F20" w:sz="4" w:space="0"/>
              <w:bottom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0" w:type="dxa"/>
            <w:vMerge w:val="continue"/>
            <w:tcBorders>
              <w:right w:val="single" w:color="231F20" w:sz="4" w:space="0"/>
            </w:tcBorders>
            <w:vAlign w:val="center"/>
          </w:tcPr>
          <w:p>
            <w:pPr>
              <w:autoSpaceDE w:val="0"/>
              <w:autoSpaceDN w:val="0"/>
              <w:spacing w:line="240" w:lineRule="auto"/>
              <w:ind w:firstLine="0" w:firstLineChars="0"/>
              <w:jc w:val="center"/>
              <w:rPr>
                <w:rFonts w:ascii="宋体" w:hAnsi="宋体"/>
                <w:kern w:val="0"/>
                <w:sz w:val="21"/>
                <w:szCs w:val="21"/>
                <w:lang w:eastAsia="en-US"/>
              </w:rPr>
            </w:pPr>
          </w:p>
        </w:tc>
        <w:tc>
          <w:tcPr>
            <w:tcW w:w="1464" w:type="dxa"/>
            <w:tcBorders>
              <w:top w:val="single" w:color="231F20" w:sz="4" w:space="0"/>
              <w:left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螺栓状态</w:t>
            </w:r>
          </w:p>
        </w:tc>
        <w:tc>
          <w:tcPr>
            <w:tcW w:w="4445" w:type="dxa"/>
            <w:tcBorders>
              <w:top w:val="single" w:color="231F20" w:sz="4" w:space="0"/>
              <w:left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zh-CN"/>
              </w:rPr>
              <w:t>高强螺栓紧固力</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螺栓滑脱</w:t>
            </w:r>
          </w:p>
        </w:tc>
        <w:tc>
          <w:tcPr>
            <w:tcW w:w="1567" w:type="dxa"/>
            <w:tcBorders>
              <w:top w:val="single" w:color="231F20" w:sz="4" w:space="0"/>
              <w:left w:val="single" w:color="231F20" w:sz="4" w:space="0"/>
            </w:tcBorders>
            <w:vAlign w:val="center"/>
          </w:tcPr>
          <w:p>
            <w:pPr>
              <w:autoSpaceDE w:val="0"/>
              <w:autoSpaceDN w:val="0"/>
              <w:spacing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06" w:type="dxa"/>
            <w:gridSpan w:val="4"/>
            <w:vAlign w:val="center"/>
          </w:tcPr>
          <w:p>
            <w:pPr>
              <w:autoSpaceDE w:val="0"/>
              <w:autoSpaceDN w:val="0"/>
              <w:spacing w:line="240" w:lineRule="auto"/>
              <w:ind w:firstLine="0" w:firstLineChars="0"/>
              <w:jc w:val="left"/>
              <w:rPr>
                <w:rFonts w:ascii="宋体" w:hAnsi="宋体" w:cs="华光书宋_CNKI"/>
                <w:w w:val="105"/>
                <w:kern w:val="0"/>
                <w:sz w:val="21"/>
                <w:szCs w:val="21"/>
                <w:lang w:eastAsia="zh-CN"/>
              </w:rPr>
            </w:pPr>
            <w:r>
              <w:rPr>
                <w:rFonts w:hint="eastAsia" w:ascii="宋体" w:hAnsi="宋体" w:cs="华光书宋_CNKI"/>
                <w:w w:val="105"/>
                <w:kern w:val="0"/>
                <w:sz w:val="21"/>
                <w:szCs w:val="21"/>
                <w:lang w:eastAsia="zh-CN"/>
              </w:rPr>
              <w:t>注</w:t>
            </w:r>
            <w:r>
              <w:rPr>
                <w:rFonts w:ascii="宋体" w:hAnsi="宋体" w:cs="华光书宋_CNKI"/>
                <w:w w:val="105"/>
                <w:kern w:val="0"/>
                <w:sz w:val="21"/>
                <w:szCs w:val="21"/>
                <w:lang w:eastAsia="zh-CN"/>
              </w:rPr>
              <w:t>：</w:t>
            </w:r>
            <w:r>
              <w:rPr>
                <w:rFonts w:hint="eastAsia" w:ascii="宋体" w:hAnsi="宋体" w:cs="华光书宋_CNKI"/>
                <w:w w:val="105"/>
                <w:kern w:val="0"/>
                <w:sz w:val="21"/>
                <w:szCs w:val="21"/>
                <w:lang w:eastAsia="zh-CN"/>
              </w:rPr>
              <w:t>1●</w:t>
            </w:r>
            <w:r>
              <w:rPr>
                <w:rFonts w:ascii="宋体" w:hAnsi="宋体" w:cs="华光书宋_CNKI"/>
                <w:w w:val="105"/>
                <w:kern w:val="0"/>
                <w:sz w:val="21"/>
                <w:szCs w:val="21"/>
                <w:lang w:eastAsia="zh-CN"/>
              </w:rPr>
              <w:t>为应选监测项</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为宜选监测项</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为可选监测项</w:t>
            </w:r>
            <w:r>
              <w:rPr>
                <w:rFonts w:hint="eastAsia" w:ascii="宋体" w:hAnsi="宋体" w:cs="华光书宋_CNKI"/>
                <w:w w:val="105"/>
                <w:kern w:val="0"/>
                <w:sz w:val="21"/>
                <w:szCs w:val="21"/>
                <w:lang w:eastAsia="zh-CN"/>
              </w:rPr>
              <w:t>；</w:t>
            </w:r>
          </w:p>
          <w:p>
            <w:pPr>
              <w:autoSpaceDE w:val="0"/>
              <w:autoSpaceDN w:val="0"/>
              <w:spacing w:line="240" w:lineRule="auto"/>
              <w:ind w:firstLine="440"/>
              <w:jc w:val="left"/>
              <w:rPr>
                <w:rFonts w:ascii="宋体" w:hAnsi="宋体" w:cs="华光书宋_CNKI"/>
                <w:w w:val="105"/>
                <w:kern w:val="0"/>
                <w:sz w:val="21"/>
                <w:szCs w:val="21"/>
                <w:lang w:eastAsia="zh-CN"/>
              </w:rPr>
            </w:pPr>
            <w:r>
              <w:rPr>
                <w:rFonts w:ascii="宋体" w:hAnsi="宋体" w:cs="华光书宋_CNKI"/>
                <w:w w:val="105"/>
                <w:kern w:val="0"/>
                <w:sz w:val="21"/>
                <w:szCs w:val="21"/>
                <w:lang w:eastAsia="zh-CN"/>
              </w:rPr>
              <w:t>2 a</w:t>
            </w:r>
            <w:r>
              <w:rPr>
                <w:rFonts w:hint="eastAsia" w:ascii="宋体" w:hAnsi="宋体" w:cs="华光书宋_CNKI"/>
                <w:w w:val="105"/>
                <w:kern w:val="0"/>
                <w:sz w:val="21"/>
                <w:szCs w:val="21"/>
                <w:lang w:eastAsia="zh-CN"/>
              </w:rPr>
              <w:t>表示适用于</w:t>
            </w:r>
            <w:r>
              <w:rPr>
                <w:rFonts w:ascii="宋体" w:hAnsi="宋体" w:cs="华光书宋_CNKI"/>
                <w:w w:val="105"/>
                <w:kern w:val="0"/>
                <w:sz w:val="21"/>
                <w:szCs w:val="21"/>
                <w:lang w:eastAsia="zh-CN"/>
              </w:rPr>
              <w:t>有通行</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作业管控需求</w:t>
            </w:r>
            <w:r>
              <w:rPr>
                <w:rFonts w:hint="eastAsia" w:ascii="宋体" w:hAnsi="宋体" w:cs="华光书宋_CNKI"/>
                <w:w w:val="105"/>
                <w:kern w:val="0"/>
                <w:sz w:val="21"/>
                <w:szCs w:val="21"/>
                <w:lang w:eastAsia="zh-CN"/>
              </w:rPr>
              <w:t>的</w:t>
            </w:r>
            <w:r>
              <w:rPr>
                <w:rFonts w:ascii="宋体" w:hAnsi="宋体" w:cs="华光书宋_CNKI"/>
                <w:w w:val="105"/>
                <w:kern w:val="0"/>
                <w:sz w:val="21"/>
                <w:szCs w:val="21"/>
                <w:lang w:eastAsia="zh-CN"/>
              </w:rPr>
              <w:t>桥梁</w:t>
            </w:r>
            <w:r>
              <w:rPr>
                <w:rFonts w:hint="eastAsia" w:ascii="宋体" w:hAnsi="宋体" w:cs="华光书宋_CNKI"/>
                <w:w w:val="105"/>
                <w:kern w:val="0"/>
                <w:sz w:val="21"/>
                <w:szCs w:val="21"/>
                <w:lang w:eastAsia="zh-CN"/>
              </w:rPr>
              <w:t>。</w:t>
            </w:r>
          </w:p>
        </w:tc>
      </w:tr>
    </w:tbl>
    <w:p>
      <w:pPr>
        <w:ind w:firstLine="480"/>
      </w:pPr>
    </w:p>
    <w:p>
      <w:pPr>
        <w:pStyle w:val="4"/>
      </w:pPr>
      <w:r>
        <w:rPr>
          <w:rFonts w:hint="eastAsia"/>
        </w:rPr>
        <w:t>特大</w:t>
      </w:r>
      <w:r>
        <w:t>跨径</w:t>
      </w:r>
      <w:r>
        <w:rPr>
          <w:rFonts w:hint="eastAsia"/>
        </w:rPr>
        <w:t>拱桥</w:t>
      </w:r>
      <w:r>
        <w:t>监测内容</w:t>
      </w:r>
      <w:r>
        <w:rPr>
          <w:rFonts w:hint="eastAsia"/>
        </w:rPr>
        <w:t>宜按表4.</w:t>
      </w:r>
      <w:r>
        <w:t>2.5选择相应监测内容</w:t>
      </w:r>
      <w:r>
        <w:rPr>
          <w:rFonts w:hint="eastAsia"/>
        </w:rPr>
        <w:t>。</w:t>
      </w:r>
    </w:p>
    <w:tbl>
      <w:tblPr>
        <w:tblStyle w:val="43"/>
        <w:tblW w:w="8306" w:type="dxa"/>
        <w:tblInd w:w="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834"/>
        <w:gridCol w:w="1449"/>
        <w:gridCol w:w="4452"/>
        <w:gridCol w:w="1571"/>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blHeader/>
        </w:trPr>
        <w:tc>
          <w:tcPr>
            <w:tcW w:w="8306" w:type="dxa"/>
            <w:gridSpan w:val="4"/>
            <w:tcBorders>
              <w:top w:val="nil"/>
              <w:left w:val="nil"/>
              <w:bottom w:val="single" w:color="auto" w:sz="4" w:space="0"/>
              <w:right w:val="nil"/>
            </w:tcBorders>
            <w:vAlign w:val="center"/>
          </w:tcPr>
          <w:p>
            <w:pPr>
              <w:pStyle w:val="38"/>
              <w:widowControl w:val="0"/>
              <w:autoSpaceDE w:val="0"/>
              <w:autoSpaceDN w:val="0"/>
              <w:rPr>
                <w:b/>
                <w:lang w:eastAsia="en-US"/>
              </w:rPr>
            </w:pPr>
            <w:r>
              <w:rPr>
                <w:rFonts w:hint="eastAsia"/>
                <w:lang w:eastAsia="en-US"/>
              </w:rPr>
              <w:t xml:space="preserve">表 </w:t>
            </w:r>
            <w:r>
              <w:rPr>
                <w:lang w:eastAsia="en-US"/>
              </w:rPr>
              <w:fldChar w:fldCharType="begin"/>
            </w:r>
            <w:r>
              <w:rPr>
                <w:lang w:eastAsia="en-US"/>
              </w:rPr>
              <w:instrText xml:space="preserve"> </w:instrText>
            </w:r>
            <w:r>
              <w:rPr>
                <w:rFonts w:hint="eastAsia"/>
                <w:lang w:eastAsia="en-US"/>
              </w:rPr>
              <w:instrText xml:space="preserve">STYLEREF 3 \s</w:instrText>
            </w:r>
            <w:r>
              <w:rPr>
                <w:lang w:eastAsia="en-US"/>
              </w:rPr>
              <w:instrText xml:space="preserve"> </w:instrText>
            </w:r>
            <w:r>
              <w:rPr>
                <w:lang w:eastAsia="en-US"/>
              </w:rPr>
              <w:fldChar w:fldCharType="separate"/>
            </w:r>
            <w:r>
              <w:rPr>
                <w:lang w:eastAsia="en-US"/>
              </w:rPr>
              <w:t>4.2.5</w:t>
            </w:r>
            <w:r>
              <w:rPr>
                <w:lang w:eastAsia="en-US"/>
              </w:rPr>
              <w:fldChar w:fldCharType="end"/>
            </w:r>
            <w:r>
              <w:rPr>
                <w:lang w:eastAsia="en-US"/>
              </w:rPr>
              <w:t xml:space="preserve"> </w:t>
            </w:r>
            <w:r>
              <w:rPr>
                <w:rFonts w:hint="eastAsia"/>
                <w:lang w:eastAsia="en-US"/>
              </w:rPr>
              <w:t>拱桥监测内容</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blHeader/>
        </w:trPr>
        <w:tc>
          <w:tcPr>
            <w:tcW w:w="2283" w:type="dxa"/>
            <w:gridSpan w:val="2"/>
            <w:tcBorders>
              <w:top w:val="single" w:color="auto" w:sz="4" w:space="0"/>
              <w:right w:val="single" w:color="231F20" w:sz="4" w:space="0"/>
            </w:tcBorders>
            <w:vAlign w:val="center"/>
          </w:tcPr>
          <w:p>
            <w:pPr>
              <w:autoSpaceDE w:val="0"/>
              <w:autoSpaceDN w:val="0"/>
              <w:spacing w:before="32" w:line="288" w:lineRule="exact"/>
              <w:ind w:firstLine="0" w:firstLineChars="0"/>
              <w:jc w:val="center"/>
              <w:rPr>
                <w:rFonts w:ascii="宋体" w:hAnsi="宋体" w:cs="华光书宋_CNKI"/>
                <w:b/>
                <w:w w:val="105"/>
                <w:kern w:val="0"/>
                <w:sz w:val="21"/>
                <w:szCs w:val="21"/>
                <w:lang w:eastAsia="en-US"/>
              </w:rPr>
            </w:pPr>
            <w:r>
              <w:rPr>
                <w:rFonts w:ascii="宋体" w:hAnsi="宋体" w:cs="华光书宋_CNKI"/>
                <w:b/>
                <w:w w:val="105"/>
                <w:kern w:val="0"/>
                <w:sz w:val="21"/>
                <w:szCs w:val="21"/>
                <w:lang w:eastAsia="en-US"/>
              </w:rPr>
              <w:t>监测类别</w:t>
            </w:r>
          </w:p>
        </w:tc>
        <w:tc>
          <w:tcPr>
            <w:tcW w:w="4452" w:type="dxa"/>
            <w:tcBorders>
              <w:top w:val="single" w:color="auto" w:sz="4" w:space="0"/>
              <w:left w:val="single" w:color="231F20" w:sz="4" w:space="0"/>
              <w:right w:val="single" w:color="231F20" w:sz="4" w:space="0"/>
            </w:tcBorders>
            <w:vAlign w:val="center"/>
          </w:tcPr>
          <w:p>
            <w:pPr>
              <w:autoSpaceDE w:val="0"/>
              <w:autoSpaceDN w:val="0"/>
              <w:spacing w:before="32" w:line="288" w:lineRule="exact"/>
              <w:ind w:left="122" w:right="104" w:firstLine="441" w:firstLineChars="0"/>
              <w:jc w:val="center"/>
              <w:rPr>
                <w:rFonts w:ascii="宋体" w:hAnsi="宋体" w:cs="华光书宋_CNKI"/>
                <w:b/>
                <w:w w:val="105"/>
                <w:kern w:val="0"/>
                <w:sz w:val="21"/>
                <w:szCs w:val="21"/>
                <w:lang w:eastAsia="en-US"/>
              </w:rPr>
            </w:pPr>
            <w:r>
              <w:rPr>
                <w:rFonts w:ascii="宋体" w:hAnsi="宋体" w:cs="华光书宋_CNKI"/>
                <w:b/>
                <w:w w:val="105"/>
                <w:kern w:val="0"/>
                <w:sz w:val="21"/>
                <w:szCs w:val="21"/>
                <w:lang w:eastAsia="en-US"/>
              </w:rPr>
              <w:t>监 测 内 容</w:t>
            </w:r>
          </w:p>
        </w:tc>
        <w:tc>
          <w:tcPr>
            <w:tcW w:w="1571" w:type="dxa"/>
            <w:tcBorders>
              <w:top w:val="single" w:color="auto" w:sz="4" w:space="0"/>
              <w:left w:val="single" w:color="231F20" w:sz="4" w:space="0"/>
            </w:tcBorders>
            <w:vAlign w:val="center"/>
          </w:tcPr>
          <w:p>
            <w:pPr>
              <w:autoSpaceDE w:val="0"/>
              <w:autoSpaceDN w:val="0"/>
              <w:spacing w:before="32" w:line="288" w:lineRule="exact"/>
              <w:ind w:right="104" w:firstLine="0" w:firstLineChars="0"/>
              <w:jc w:val="center"/>
              <w:rPr>
                <w:rFonts w:ascii="宋体" w:hAnsi="宋体" w:cs="华光书宋_CNKI"/>
                <w:b/>
                <w:kern w:val="0"/>
                <w:sz w:val="21"/>
                <w:szCs w:val="21"/>
                <w:lang w:eastAsia="en-US"/>
              </w:rPr>
            </w:pPr>
            <w:r>
              <w:rPr>
                <w:rFonts w:hint="eastAsia" w:ascii="宋体" w:hAnsi="宋体" w:cs="华光书宋_CNKI"/>
                <w:b/>
                <w:kern w:val="0"/>
                <w:sz w:val="21"/>
                <w:szCs w:val="21"/>
                <w:lang w:eastAsia="en-US"/>
              </w:rPr>
              <w:t>监测选项</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5" w:hRule="atLeast"/>
        </w:trPr>
        <w:tc>
          <w:tcPr>
            <w:tcW w:w="834" w:type="dxa"/>
            <w:vMerge w:val="restart"/>
            <w:tcBorders>
              <w:bottom w:val="single" w:color="231F20" w:sz="4" w:space="0"/>
              <w:right w:val="single" w:color="231F20" w:sz="4" w:space="0"/>
            </w:tcBorders>
            <w:vAlign w:val="center"/>
          </w:tcPr>
          <w:p>
            <w:pPr>
              <w:autoSpaceDE w:val="0"/>
              <w:autoSpaceDN w:val="0"/>
              <w:spacing w:before="1"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环境</w:t>
            </w:r>
          </w:p>
        </w:tc>
        <w:tc>
          <w:tcPr>
            <w:tcW w:w="1449" w:type="dxa"/>
            <w:vMerge w:val="restart"/>
            <w:tcBorders>
              <w:left w:val="single" w:color="231F20" w:sz="4" w:space="0"/>
              <w:bottom w:val="single" w:color="231F20" w:sz="4" w:space="0"/>
              <w:right w:val="single" w:color="231F20" w:sz="4" w:space="0"/>
            </w:tcBorders>
            <w:vAlign w:val="center"/>
          </w:tcPr>
          <w:p>
            <w:pPr>
              <w:autoSpaceDE w:val="0"/>
              <w:autoSpaceDN w:val="0"/>
              <w:spacing w:before="32" w:line="288" w:lineRule="exact"/>
              <w:ind w:left="16" w:firstLine="0" w:firstLineChars="0"/>
              <w:jc w:val="center"/>
              <w:rPr>
                <w:rFonts w:ascii="宋体" w:hAnsi="宋体" w:cs="华光书宋_CNKI"/>
                <w:kern w:val="0"/>
                <w:sz w:val="21"/>
                <w:szCs w:val="21"/>
                <w:lang w:eastAsia="en-US"/>
              </w:rPr>
            </w:pPr>
            <w:r>
              <w:rPr>
                <w:rFonts w:ascii="宋体" w:hAnsi="宋体" w:cs="华光书宋_CNKI"/>
                <w:kern w:val="0"/>
                <w:sz w:val="21"/>
                <w:szCs w:val="21"/>
                <w:lang w:eastAsia="en-US"/>
              </w:rPr>
              <w:t>温度</w:t>
            </w:r>
            <w:r>
              <w:rPr>
                <w:rFonts w:hint="eastAsia" w:ascii="宋体" w:hAnsi="宋体" w:cs="华光书宋_CNKI"/>
                <w:kern w:val="0"/>
                <w:sz w:val="21"/>
                <w:szCs w:val="21"/>
                <w:lang w:eastAsia="en-US"/>
              </w:rPr>
              <w:t>、</w:t>
            </w:r>
            <w:r>
              <w:rPr>
                <w:rFonts w:ascii="宋体" w:hAnsi="宋体" w:cs="华光书宋_CNKI"/>
                <w:kern w:val="0"/>
                <w:sz w:val="21"/>
                <w:szCs w:val="21"/>
                <w:lang w:eastAsia="en-US"/>
              </w:rPr>
              <w:t>湿度</w:t>
            </w:r>
          </w:p>
        </w:tc>
        <w:tc>
          <w:tcPr>
            <w:tcW w:w="4452" w:type="dxa"/>
            <w:tcBorders>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zh-CN"/>
              </w:rPr>
              <w:t>桥址区环境温度</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湿度</w:t>
            </w:r>
          </w:p>
        </w:tc>
        <w:tc>
          <w:tcPr>
            <w:tcW w:w="1571" w:type="dxa"/>
            <w:tcBorders>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4"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449" w:type="dxa"/>
            <w:vMerge w:val="continue"/>
            <w:tcBorders>
              <w:top w:val="nil"/>
              <w:left w:val="single" w:color="231F20" w:sz="4" w:space="0"/>
              <w:bottom w:val="single" w:color="231F20" w:sz="4" w:space="0"/>
              <w:right w:val="single" w:color="231F20" w:sz="4" w:space="0"/>
            </w:tcBorders>
            <w:vAlign w:val="center"/>
          </w:tcPr>
          <w:p>
            <w:pPr>
              <w:autoSpaceDE w:val="0"/>
              <w:autoSpaceDN w:val="0"/>
              <w:spacing w:before="32" w:line="288" w:lineRule="exact"/>
              <w:ind w:left="16" w:firstLine="420" w:firstLineChars="0"/>
              <w:jc w:val="center"/>
              <w:rPr>
                <w:rFonts w:ascii="宋体" w:hAnsi="宋体" w:cs="华光书宋_CNKI"/>
                <w:kern w:val="0"/>
                <w:sz w:val="21"/>
                <w:szCs w:val="21"/>
                <w:lang w:eastAsia="en-US"/>
              </w:rPr>
            </w:pP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9" w:line="292" w:lineRule="exact"/>
              <w:ind w:right="104" w:firstLine="0" w:firstLineChars="0"/>
              <w:jc w:val="center"/>
              <w:rPr>
                <w:rFonts w:ascii="宋体" w:hAnsi="宋体" w:cs="华光书宋_CNKI"/>
                <w:kern w:val="0"/>
                <w:sz w:val="21"/>
                <w:szCs w:val="21"/>
                <w:lang w:eastAsia="zh-CN"/>
              </w:rPr>
            </w:pPr>
            <w:r>
              <w:rPr>
                <w:rFonts w:hint="eastAsia" w:ascii="宋体" w:hAnsi="宋体" w:cs="华光书宋_CNKI"/>
                <w:kern w:val="0"/>
                <w:sz w:val="21"/>
                <w:szCs w:val="21"/>
                <w:lang w:eastAsia="zh-CN"/>
              </w:rPr>
              <w:t>封闭箱</w:t>
            </w:r>
            <w:r>
              <w:rPr>
                <w:rFonts w:ascii="宋体" w:hAnsi="宋体" w:cs="华光书宋_CNKI"/>
                <w:kern w:val="0"/>
                <w:sz w:val="21"/>
                <w:szCs w:val="21"/>
                <w:lang w:eastAsia="zh-CN"/>
              </w:rPr>
              <w:t>梁内温度</w:t>
            </w:r>
            <w:r>
              <w:rPr>
                <w:rFonts w:hint="eastAsia" w:ascii="宋体" w:hAnsi="宋体" w:cs="华光书宋_CNKI"/>
                <w:w w:val="80"/>
                <w:kern w:val="0"/>
                <w:sz w:val="21"/>
                <w:szCs w:val="21"/>
                <w:lang w:eastAsia="zh-CN"/>
              </w:rPr>
              <w:t>、</w:t>
            </w:r>
            <w:r>
              <w:rPr>
                <w:rFonts w:ascii="宋体" w:hAnsi="宋体" w:cs="华光书宋_CNKI"/>
                <w:kern w:val="0"/>
                <w:sz w:val="21"/>
                <w:szCs w:val="21"/>
                <w:lang w:eastAsia="zh-CN"/>
              </w:rPr>
              <w:t>湿度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4"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449" w:type="dxa"/>
            <w:vMerge w:val="continue"/>
            <w:tcBorders>
              <w:top w:val="nil"/>
              <w:left w:val="single" w:color="231F20" w:sz="4" w:space="0"/>
              <w:bottom w:val="single" w:color="231F20" w:sz="4" w:space="0"/>
              <w:right w:val="single" w:color="231F20" w:sz="4" w:space="0"/>
            </w:tcBorders>
            <w:vAlign w:val="center"/>
          </w:tcPr>
          <w:p>
            <w:pPr>
              <w:autoSpaceDE w:val="0"/>
              <w:autoSpaceDN w:val="0"/>
              <w:spacing w:before="32" w:line="288" w:lineRule="exact"/>
              <w:ind w:left="16" w:firstLine="420" w:firstLineChars="0"/>
              <w:jc w:val="center"/>
              <w:rPr>
                <w:rFonts w:ascii="宋体" w:hAnsi="宋体" w:cs="华光书宋_CNKI"/>
                <w:kern w:val="0"/>
                <w:sz w:val="21"/>
                <w:szCs w:val="21"/>
                <w:lang w:eastAsia="en-US"/>
              </w:rPr>
            </w:pP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9" w:line="292" w:lineRule="exact"/>
              <w:ind w:right="104" w:firstLine="0" w:firstLineChars="0"/>
              <w:jc w:val="center"/>
              <w:rPr>
                <w:rFonts w:ascii="宋体" w:hAnsi="宋体" w:cs="华光书宋_CNKI"/>
                <w:kern w:val="0"/>
                <w:sz w:val="21"/>
                <w:szCs w:val="21"/>
                <w:lang w:eastAsia="zh-CN"/>
              </w:rPr>
            </w:pPr>
            <w:r>
              <w:rPr>
                <w:rFonts w:hint="eastAsia" w:ascii="宋体" w:hAnsi="宋体" w:cs="华光书宋_CNKI"/>
                <w:kern w:val="0"/>
                <w:sz w:val="21"/>
                <w:szCs w:val="21"/>
                <w:lang w:eastAsia="zh-CN"/>
              </w:rPr>
              <w:t>封闭箱</w:t>
            </w:r>
            <w:r>
              <w:rPr>
                <w:rFonts w:ascii="宋体" w:hAnsi="宋体" w:cs="华光书宋_CNKI"/>
                <w:kern w:val="0"/>
                <w:sz w:val="21"/>
                <w:szCs w:val="21"/>
                <w:lang w:eastAsia="zh-CN"/>
              </w:rPr>
              <w:t>拱内温度</w:t>
            </w:r>
            <w:r>
              <w:rPr>
                <w:rFonts w:hint="eastAsia" w:ascii="宋体" w:hAnsi="宋体" w:cs="华光书宋_CNKI"/>
                <w:w w:val="80"/>
                <w:kern w:val="0"/>
                <w:sz w:val="21"/>
                <w:szCs w:val="21"/>
                <w:lang w:eastAsia="zh-CN"/>
              </w:rPr>
              <w:t>、</w:t>
            </w:r>
            <w:r>
              <w:rPr>
                <w:rFonts w:ascii="宋体" w:hAnsi="宋体" w:cs="华光书宋_CNKI"/>
                <w:kern w:val="0"/>
                <w:sz w:val="21"/>
                <w:szCs w:val="21"/>
                <w:lang w:eastAsia="zh-CN"/>
              </w:rPr>
              <w:t>湿度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4"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449"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2" w:line="288" w:lineRule="exact"/>
              <w:ind w:firstLine="0" w:firstLineChars="0"/>
              <w:jc w:val="center"/>
              <w:rPr>
                <w:rFonts w:ascii="宋体" w:hAnsi="宋体" w:cs="华光书宋_CNKI"/>
                <w:kern w:val="0"/>
                <w:sz w:val="21"/>
                <w:szCs w:val="21"/>
                <w:lang w:eastAsia="en-US"/>
              </w:rPr>
            </w:pPr>
            <w:r>
              <w:rPr>
                <w:rFonts w:ascii="宋体" w:hAnsi="宋体" w:cs="华光书宋_CNKI"/>
                <w:kern w:val="0"/>
                <w:sz w:val="21"/>
                <w:szCs w:val="21"/>
                <w:lang w:eastAsia="en-US"/>
              </w:rPr>
              <w:t>结冰</w:t>
            </w: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29" w:line="240" w:lineRule="auto"/>
              <w:ind w:right="104" w:firstLine="0" w:firstLineChars="0"/>
              <w:jc w:val="center"/>
              <w:rPr>
                <w:rFonts w:ascii="宋体" w:hAnsi="宋体" w:cs="华光书宋_CNKI"/>
                <w:kern w:val="0"/>
                <w:sz w:val="21"/>
                <w:szCs w:val="21"/>
                <w:lang w:eastAsia="zh-CN"/>
              </w:rPr>
            </w:pPr>
            <w:r>
              <w:rPr>
                <w:rFonts w:ascii="宋体" w:hAnsi="宋体" w:cs="华光书宋_CNKI"/>
                <w:kern w:val="0"/>
                <w:sz w:val="21"/>
                <w:szCs w:val="21"/>
                <w:lang w:eastAsia="zh-CN"/>
              </w:rPr>
              <w:t>桥面结冰</w:t>
            </w:r>
            <w:r>
              <w:rPr>
                <w:rFonts w:hint="eastAsia" w:ascii="宋体" w:hAnsi="宋体" w:cs="华光书宋_CNKI"/>
                <w:w w:val="80"/>
                <w:kern w:val="0"/>
                <w:sz w:val="21"/>
                <w:szCs w:val="21"/>
                <w:lang w:eastAsia="zh-CN"/>
              </w:rPr>
              <w:t>、</w:t>
            </w:r>
            <w:r>
              <w:rPr>
                <w:rFonts w:ascii="宋体" w:hAnsi="宋体" w:cs="华光书宋_CNKI"/>
                <w:kern w:val="0"/>
                <w:sz w:val="21"/>
                <w:szCs w:val="21"/>
                <w:lang w:eastAsia="zh-CN"/>
              </w:rPr>
              <w:t>吊杆</w:t>
            </w:r>
            <w:r>
              <w:rPr>
                <w:rFonts w:hint="eastAsia" w:ascii="宋体" w:hAnsi="宋体" w:cs="华光书宋_CNKI"/>
                <w:kern w:val="0"/>
                <w:sz w:val="21"/>
                <w:szCs w:val="21"/>
                <w:lang w:eastAsia="zh-CN"/>
              </w:rPr>
              <w:t>（索）</w:t>
            </w:r>
            <w:r>
              <w:rPr>
                <w:rFonts w:ascii="宋体" w:hAnsi="宋体" w:cs="华光书宋_CNKI"/>
                <w:kern w:val="0"/>
                <w:sz w:val="21"/>
                <w:szCs w:val="21"/>
                <w:lang w:eastAsia="zh-CN"/>
              </w:rPr>
              <w:t>结冰</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5" w:hRule="atLeast"/>
        </w:trPr>
        <w:tc>
          <w:tcPr>
            <w:tcW w:w="834" w:type="dxa"/>
            <w:vMerge w:val="restart"/>
            <w:tcBorders>
              <w:top w:val="single" w:color="231F20" w:sz="4" w:space="0"/>
              <w:right w:val="single" w:color="231F20" w:sz="4" w:space="0"/>
            </w:tcBorders>
            <w:vAlign w:val="center"/>
          </w:tcPr>
          <w:p>
            <w:pPr>
              <w:autoSpaceDE w:val="0"/>
              <w:autoSpaceDN w:val="0"/>
              <w:spacing w:before="1"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作用</w:t>
            </w:r>
          </w:p>
        </w:tc>
        <w:tc>
          <w:tcPr>
            <w:tcW w:w="1449" w:type="dxa"/>
            <w:vMerge w:val="restart"/>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2" w:line="288" w:lineRule="exact"/>
              <w:ind w:firstLine="0" w:firstLineChars="0"/>
              <w:jc w:val="center"/>
              <w:rPr>
                <w:rFonts w:ascii="宋体" w:hAnsi="宋体" w:cs="华光书宋_CNKI"/>
                <w:kern w:val="0"/>
                <w:sz w:val="21"/>
                <w:szCs w:val="21"/>
                <w:lang w:eastAsia="en-US"/>
              </w:rPr>
            </w:pPr>
            <w:r>
              <w:rPr>
                <w:rFonts w:ascii="宋体" w:hAnsi="宋体" w:cs="华光书宋_CNKI"/>
                <w:kern w:val="0"/>
                <w:sz w:val="21"/>
                <w:szCs w:val="21"/>
                <w:lang w:eastAsia="en-US"/>
              </w:rPr>
              <w:t>车辆荷载</w:t>
            </w: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8" w:line="287" w:lineRule="exact"/>
              <w:ind w:right="104" w:firstLine="0" w:firstLineChars="0"/>
              <w:jc w:val="center"/>
              <w:rPr>
                <w:rFonts w:ascii="宋体" w:hAnsi="宋体" w:cs="华光书宋_CNKI"/>
                <w:kern w:val="0"/>
                <w:sz w:val="21"/>
                <w:szCs w:val="21"/>
                <w:lang w:eastAsia="zh-CN"/>
              </w:rPr>
            </w:pPr>
            <w:r>
              <w:rPr>
                <w:rFonts w:ascii="宋体" w:hAnsi="宋体" w:cs="华光书宋_CNKI"/>
                <w:kern w:val="0"/>
                <w:sz w:val="21"/>
                <w:szCs w:val="21"/>
                <w:lang w:eastAsia="zh-CN"/>
              </w:rPr>
              <w:t>所有车道车重</w:t>
            </w:r>
            <w:r>
              <w:rPr>
                <w:rFonts w:hint="eastAsia" w:ascii="宋体" w:hAnsi="宋体" w:cs="华光书宋_CNKI"/>
                <w:w w:val="80"/>
                <w:kern w:val="0"/>
                <w:sz w:val="21"/>
                <w:szCs w:val="21"/>
                <w:lang w:eastAsia="zh-CN"/>
              </w:rPr>
              <w:t>、</w:t>
            </w:r>
            <w:r>
              <w:rPr>
                <w:rFonts w:ascii="宋体" w:hAnsi="宋体" w:cs="华光书宋_CNKI"/>
                <w:kern w:val="0"/>
                <w:sz w:val="21"/>
                <w:szCs w:val="21"/>
                <w:lang w:eastAsia="zh-CN"/>
              </w:rPr>
              <w:t>轴重</w:t>
            </w:r>
            <w:r>
              <w:rPr>
                <w:rFonts w:hint="eastAsia" w:ascii="宋体" w:hAnsi="宋体" w:cs="华光书宋_CNKI"/>
                <w:w w:val="80"/>
                <w:kern w:val="0"/>
                <w:sz w:val="21"/>
                <w:szCs w:val="21"/>
                <w:lang w:eastAsia="zh-CN"/>
              </w:rPr>
              <w:t>、</w:t>
            </w:r>
            <w:r>
              <w:rPr>
                <w:rFonts w:ascii="宋体" w:hAnsi="宋体" w:cs="华光书宋_CNKI"/>
                <w:kern w:val="0"/>
                <w:sz w:val="21"/>
                <w:szCs w:val="21"/>
                <w:lang w:eastAsia="zh-CN"/>
              </w:rPr>
              <w:t>轴数</w:t>
            </w:r>
            <w:r>
              <w:rPr>
                <w:rFonts w:hint="eastAsia" w:ascii="宋体" w:hAnsi="宋体" w:cs="华光书宋_CNKI"/>
                <w:w w:val="80"/>
                <w:kern w:val="0"/>
                <w:sz w:val="21"/>
                <w:szCs w:val="21"/>
                <w:lang w:eastAsia="zh-CN"/>
              </w:rPr>
              <w:t>、</w:t>
            </w:r>
            <w:r>
              <w:rPr>
                <w:rFonts w:ascii="宋体" w:hAnsi="宋体" w:cs="华光书宋_CNKI"/>
                <w:kern w:val="0"/>
                <w:sz w:val="21"/>
                <w:szCs w:val="21"/>
                <w:lang w:eastAsia="zh-CN"/>
              </w:rPr>
              <w:t>车速</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4" w:type="dxa"/>
            <w:vMerge w:val="continue"/>
            <w:tcBorders>
              <w:top w:val="nil"/>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449"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83" w:lineRule="exact"/>
              <w:ind w:right="104"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所有车道车流量</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4" w:type="dxa"/>
            <w:vMerge w:val="continue"/>
            <w:tcBorders>
              <w:top w:val="nil"/>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449"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2" w:line="288" w:lineRule="exact"/>
              <w:ind w:right="104" w:firstLine="0" w:firstLineChars="0"/>
              <w:jc w:val="center"/>
              <w:rPr>
                <w:rFonts w:ascii="宋体" w:hAnsi="宋体" w:cs="华光书宋_CNKI"/>
                <w:kern w:val="0"/>
                <w:sz w:val="21"/>
                <w:szCs w:val="21"/>
                <w:lang w:eastAsia="zh-CN"/>
              </w:rPr>
            </w:pPr>
            <w:r>
              <w:rPr>
                <w:rFonts w:ascii="宋体" w:hAnsi="宋体" w:cs="华光书宋_CNKI"/>
                <w:w w:val="105"/>
                <w:kern w:val="0"/>
                <w:sz w:val="21"/>
                <w:szCs w:val="21"/>
                <w:lang w:eastAsia="zh-CN"/>
              </w:rPr>
              <w:t>所有车道的车辆空间分布视频图像</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4" w:type="dxa"/>
            <w:vMerge w:val="continue"/>
            <w:tcBorders>
              <w:top w:val="nil"/>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449" w:type="dxa"/>
            <w:tcBorders>
              <w:top w:val="nil"/>
              <w:left w:val="single" w:color="231F20" w:sz="4" w:space="0"/>
              <w:bottom w:val="single" w:color="231F20" w:sz="4" w:space="0"/>
              <w:right w:val="single" w:color="231F20" w:sz="4" w:space="0"/>
            </w:tcBorders>
            <w:vAlign w:val="center"/>
          </w:tcPr>
          <w:p>
            <w:pPr>
              <w:autoSpaceDE w:val="0"/>
              <w:autoSpaceDN w:val="0"/>
              <w:spacing w:before="1" w:line="240" w:lineRule="auto"/>
              <w:ind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人群</w:t>
            </w:r>
            <w:r>
              <w:rPr>
                <w:rFonts w:ascii="宋体" w:hAnsi="宋体" w:cs="华光书宋_CNKI"/>
                <w:w w:val="105"/>
                <w:kern w:val="0"/>
                <w:sz w:val="21"/>
                <w:szCs w:val="21"/>
                <w:lang w:eastAsia="en-US"/>
              </w:rPr>
              <w:t>荷载</w:t>
            </w: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人流量</w:t>
            </w:r>
          </w:p>
        </w:tc>
        <w:tc>
          <w:tcPr>
            <w:tcW w:w="1571"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4" w:type="dxa"/>
            <w:vMerge w:val="continue"/>
            <w:tcBorders>
              <w:top w:val="nil"/>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449" w:type="dxa"/>
            <w:vMerge w:val="restart"/>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2" w:line="288" w:lineRule="exact"/>
              <w:ind w:left="16" w:firstLine="0" w:firstLineChars="0"/>
              <w:jc w:val="center"/>
              <w:rPr>
                <w:rFonts w:ascii="宋体" w:hAnsi="宋体" w:cs="华光书宋_CNKI"/>
                <w:kern w:val="0"/>
                <w:sz w:val="21"/>
                <w:szCs w:val="21"/>
                <w:lang w:eastAsia="en-US"/>
              </w:rPr>
            </w:pPr>
            <w:r>
              <w:rPr>
                <w:rFonts w:ascii="宋体" w:hAnsi="宋体" w:cs="华光书宋_CNKI"/>
                <w:kern w:val="0"/>
                <w:sz w:val="21"/>
                <w:szCs w:val="21"/>
                <w:lang w:eastAsia="en-US"/>
              </w:rPr>
              <w:t>风速</w:t>
            </w:r>
            <w:r>
              <w:rPr>
                <w:rFonts w:hint="eastAsia" w:ascii="宋体" w:hAnsi="宋体" w:cs="华光书宋_CNKI"/>
                <w:kern w:val="0"/>
                <w:sz w:val="21"/>
                <w:szCs w:val="21"/>
                <w:lang w:eastAsia="en-US"/>
              </w:rPr>
              <w:t>、</w:t>
            </w:r>
            <w:r>
              <w:rPr>
                <w:rFonts w:ascii="宋体" w:hAnsi="宋体" w:cs="华光书宋_CNKI"/>
                <w:kern w:val="0"/>
                <w:sz w:val="21"/>
                <w:szCs w:val="21"/>
                <w:lang w:eastAsia="en-US"/>
              </w:rPr>
              <w:t>风向</w:t>
            </w: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3" w:line="287" w:lineRule="exact"/>
              <w:ind w:right="104" w:firstLine="0" w:firstLineChars="0"/>
              <w:jc w:val="center"/>
              <w:rPr>
                <w:rFonts w:ascii="宋体" w:hAnsi="宋体" w:cs="华光书宋_CNKI"/>
                <w:kern w:val="0"/>
                <w:sz w:val="21"/>
                <w:szCs w:val="21"/>
                <w:lang w:eastAsia="zh-CN"/>
              </w:rPr>
            </w:pPr>
            <w:r>
              <w:rPr>
                <w:rFonts w:hint="eastAsia" w:ascii="宋体" w:hAnsi="宋体" w:cs="华光书宋_CNKI"/>
                <w:kern w:val="0"/>
                <w:sz w:val="21"/>
                <w:szCs w:val="21"/>
                <w:lang w:eastAsia="zh-CN"/>
              </w:rPr>
              <w:t>中承</w:t>
            </w:r>
            <w:r>
              <w:rPr>
                <w:rFonts w:ascii="宋体" w:hAnsi="宋体" w:cs="华光书宋_CNKI"/>
                <w:kern w:val="0"/>
                <w:sz w:val="21"/>
                <w:szCs w:val="21"/>
                <w:lang w:eastAsia="zh-CN"/>
              </w:rPr>
              <w:t>式</w:t>
            </w:r>
            <w:r>
              <w:rPr>
                <w:rFonts w:hint="eastAsia" w:ascii="宋体" w:hAnsi="宋体" w:cs="华光书宋_CNKI"/>
                <w:kern w:val="0"/>
                <w:sz w:val="21"/>
                <w:szCs w:val="21"/>
                <w:lang w:eastAsia="zh-CN"/>
              </w:rPr>
              <w:t>、</w:t>
            </w:r>
            <w:r>
              <w:rPr>
                <w:rFonts w:ascii="宋体" w:hAnsi="宋体" w:cs="华光书宋_CNKI"/>
                <w:kern w:val="0"/>
                <w:sz w:val="21"/>
                <w:szCs w:val="21"/>
                <w:lang w:eastAsia="zh-CN"/>
              </w:rPr>
              <w:t>下承式</w:t>
            </w:r>
            <w:r>
              <w:rPr>
                <w:rFonts w:hint="eastAsia" w:ascii="宋体" w:hAnsi="宋体" w:cs="华光书宋_CNKI"/>
                <w:kern w:val="0"/>
                <w:sz w:val="21"/>
                <w:szCs w:val="21"/>
                <w:lang w:eastAsia="zh-CN"/>
              </w:rPr>
              <w:t>桥梁</w:t>
            </w:r>
            <w:r>
              <w:rPr>
                <w:rFonts w:ascii="宋体" w:hAnsi="宋体" w:cs="华光书宋_CNKI"/>
                <w:kern w:val="0"/>
                <w:sz w:val="21"/>
                <w:szCs w:val="21"/>
                <w:lang w:eastAsia="zh-CN"/>
              </w:rPr>
              <w:t>桥面风速</w:t>
            </w:r>
            <w:r>
              <w:rPr>
                <w:rFonts w:hint="eastAsia" w:ascii="宋体" w:hAnsi="宋体" w:cs="华光书宋_CNKI"/>
                <w:w w:val="80"/>
                <w:kern w:val="0"/>
                <w:sz w:val="21"/>
                <w:szCs w:val="21"/>
                <w:lang w:eastAsia="zh-CN"/>
              </w:rPr>
              <w:t>、</w:t>
            </w:r>
            <w:r>
              <w:rPr>
                <w:rFonts w:ascii="宋体" w:hAnsi="宋体" w:cs="华光书宋_CNKI"/>
                <w:kern w:val="0"/>
                <w:sz w:val="21"/>
                <w:szCs w:val="21"/>
                <w:lang w:eastAsia="zh-CN"/>
              </w:rPr>
              <w:t>风向</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4" w:type="dxa"/>
            <w:vMerge w:val="continue"/>
            <w:tcBorders>
              <w:top w:val="nil"/>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449" w:type="dxa"/>
            <w:vMerge w:val="continue"/>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2" w:line="288" w:lineRule="exact"/>
              <w:ind w:left="16" w:firstLine="420" w:firstLineChars="0"/>
              <w:jc w:val="center"/>
              <w:rPr>
                <w:rFonts w:ascii="宋体" w:hAnsi="宋体" w:cs="华光书宋_CNKI"/>
                <w:kern w:val="0"/>
                <w:sz w:val="21"/>
                <w:szCs w:val="21"/>
                <w:lang w:eastAsia="en-US"/>
              </w:rPr>
            </w:pP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3" w:line="287" w:lineRule="exact"/>
              <w:ind w:right="104" w:firstLine="0" w:firstLineChars="0"/>
              <w:jc w:val="center"/>
              <w:rPr>
                <w:rFonts w:ascii="宋体" w:hAnsi="宋体" w:cs="华光书宋_CNKI"/>
                <w:kern w:val="0"/>
                <w:sz w:val="21"/>
                <w:szCs w:val="21"/>
                <w:lang w:eastAsia="zh-CN"/>
              </w:rPr>
            </w:pPr>
            <w:r>
              <w:rPr>
                <w:rFonts w:hint="eastAsia" w:ascii="宋体" w:hAnsi="宋体" w:cs="华光书宋_CNKI"/>
                <w:kern w:val="0"/>
                <w:sz w:val="21"/>
                <w:szCs w:val="21"/>
                <w:lang w:eastAsia="zh-CN"/>
              </w:rPr>
              <w:t>上</w:t>
            </w:r>
            <w:r>
              <w:rPr>
                <w:rFonts w:ascii="宋体" w:hAnsi="宋体" w:cs="华光书宋_CNKI"/>
                <w:kern w:val="0"/>
                <w:sz w:val="21"/>
                <w:szCs w:val="21"/>
                <w:lang w:eastAsia="zh-CN"/>
              </w:rPr>
              <w:t>承式</w:t>
            </w:r>
            <w:r>
              <w:rPr>
                <w:rFonts w:hint="eastAsia" w:ascii="宋体" w:hAnsi="宋体" w:cs="华光书宋_CNKI"/>
                <w:kern w:val="0"/>
                <w:sz w:val="21"/>
                <w:szCs w:val="21"/>
                <w:lang w:eastAsia="zh-CN"/>
              </w:rPr>
              <w:t>桥梁</w:t>
            </w:r>
            <w:r>
              <w:rPr>
                <w:rFonts w:ascii="宋体" w:hAnsi="宋体" w:cs="华光书宋_CNKI"/>
                <w:kern w:val="0"/>
                <w:sz w:val="21"/>
                <w:szCs w:val="21"/>
                <w:lang w:eastAsia="zh-CN"/>
              </w:rPr>
              <w:t>桥面风速</w:t>
            </w:r>
            <w:r>
              <w:rPr>
                <w:rFonts w:hint="eastAsia" w:ascii="宋体" w:hAnsi="宋体" w:cs="华光书宋_CNKI"/>
                <w:w w:val="80"/>
                <w:kern w:val="0"/>
                <w:sz w:val="21"/>
                <w:szCs w:val="21"/>
                <w:lang w:eastAsia="zh-CN"/>
              </w:rPr>
              <w:t>、</w:t>
            </w:r>
            <w:r>
              <w:rPr>
                <w:rFonts w:ascii="宋体" w:hAnsi="宋体" w:cs="华光书宋_CNKI"/>
                <w:kern w:val="0"/>
                <w:sz w:val="21"/>
                <w:szCs w:val="21"/>
                <w:lang w:eastAsia="zh-CN"/>
              </w:rPr>
              <w:t>风向</w:t>
            </w:r>
            <w:r>
              <w:rPr>
                <w:rFonts w:ascii="宋体" w:hAnsi="宋体" w:cs="华光书宋_CNKI"/>
                <w:kern w:val="0"/>
                <w:sz w:val="21"/>
                <w:szCs w:val="21"/>
                <w:vertAlign w:val="superscript"/>
                <w:lang w:eastAsia="zh-CN"/>
              </w:rPr>
              <w:t>a</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4" w:type="dxa"/>
            <w:vMerge w:val="continue"/>
            <w:tcBorders>
              <w:top w:val="nil"/>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449" w:type="dxa"/>
            <w:vMerge w:val="continue"/>
            <w:tcBorders>
              <w:top w:val="nil"/>
              <w:left w:val="single" w:color="231F20" w:sz="4" w:space="0"/>
              <w:bottom w:val="single" w:color="231F20" w:sz="4" w:space="0"/>
              <w:right w:val="single" w:color="231F20" w:sz="4" w:space="0"/>
            </w:tcBorders>
            <w:vAlign w:val="center"/>
          </w:tcPr>
          <w:p>
            <w:pPr>
              <w:autoSpaceDE w:val="0"/>
              <w:autoSpaceDN w:val="0"/>
              <w:spacing w:before="32" w:line="288" w:lineRule="exact"/>
              <w:ind w:left="16" w:firstLine="420" w:firstLineChars="0"/>
              <w:jc w:val="center"/>
              <w:rPr>
                <w:rFonts w:ascii="宋体" w:hAnsi="宋体" w:cs="华光书宋_CNKI"/>
                <w:kern w:val="0"/>
                <w:sz w:val="21"/>
                <w:szCs w:val="21"/>
                <w:lang w:eastAsia="en-US"/>
              </w:rPr>
            </w:pP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24" w:line="297" w:lineRule="exact"/>
              <w:ind w:right="104" w:firstLine="0" w:firstLineChars="0"/>
              <w:jc w:val="center"/>
              <w:rPr>
                <w:rFonts w:ascii="宋体" w:hAnsi="宋体" w:cs="华光书宋_CNKI"/>
                <w:kern w:val="0"/>
                <w:sz w:val="21"/>
                <w:szCs w:val="21"/>
                <w:lang w:eastAsia="en-US"/>
              </w:rPr>
            </w:pPr>
            <w:r>
              <w:rPr>
                <w:rFonts w:ascii="宋体" w:hAnsi="宋体" w:cs="华光书宋_CNKI"/>
                <w:kern w:val="0"/>
                <w:sz w:val="21"/>
                <w:szCs w:val="21"/>
                <w:lang w:eastAsia="en-US"/>
              </w:rPr>
              <w:t>拱顶风速</w:t>
            </w:r>
            <w:r>
              <w:rPr>
                <w:rFonts w:hint="eastAsia" w:ascii="宋体" w:hAnsi="宋体" w:cs="华光书宋_CNKI"/>
                <w:w w:val="80"/>
                <w:kern w:val="0"/>
                <w:sz w:val="21"/>
                <w:szCs w:val="21"/>
                <w:lang w:eastAsia="en-US"/>
              </w:rPr>
              <w:t>、</w:t>
            </w:r>
            <w:r>
              <w:rPr>
                <w:rFonts w:ascii="宋体" w:hAnsi="宋体" w:cs="华光书宋_CNKI"/>
                <w:kern w:val="0"/>
                <w:sz w:val="21"/>
                <w:szCs w:val="21"/>
                <w:lang w:eastAsia="en-US"/>
              </w:rPr>
              <w:t>风向</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4" w:type="dxa"/>
            <w:vMerge w:val="continue"/>
            <w:tcBorders>
              <w:top w:val="nil"/>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449"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2" w:line="288" w:lineRule="exact"/>
              <w:ind w:firstLine="0" w:firstLineChars="0"/>
              <w:jc w:val="center"/>
              <w:rPr>
                <w:rFonts w:ascii="宋体" w:hAnsi="宋体" w:cs="华光书宋_CNKI"/>
                <w:kern w:val="0"/>
                <w:sz w:val="21"/>
                <w:szCs w:val="21"/>
                <w:lang w:eastAsia="en-US"/>
              </w:rPr>
            </w:pPr>
            <w:r>
              <w:rPr>
                <w:rFonts w:ascii="宋体" w:hAnsi="宋体" w:cs="华光书宋_CNKI"/>
                <w:kern w:val="0"/>
                <w:sz w:val="21"/>
                <w:szCs w:val="21"/>
                <w:lang w:eastAsia="en-US"/>
              </w:rPr>
              <w:t>结构温度</w:t>
            </w: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2" w:line="288" w:lineRule="exact"/>
              <w:ind w:right="104" w:firstLine="0" w:firstLineChars="0"/>
              <w:jc w:val="center"/>
              <w:rPr>
                <w:rFonts w:ascii="宋体" w:hAnsi="宋体" w:cs="华光书宋_CNKI"/>
                <w:kern w:val="0"/>
                <w:sz w:val="21"/>
                <w:szCs w:val="21"/>
                <w:lang w:eastAsia="zh-CN"/>
              </w:rPr>
            </w:pPr>
            <w:r>
              <w:rPr>
                <w:rFonts w:ascii="宋体" w:hAnsi="宋体" w:cs="华光书宋_CNKI"/>
                <w:w w:val="105"/>
                <w:kern w:val="0"/>
                <w:sz w:val="21"/>
                <w:szCs w:val="21"/>
                <w:lang w:eastAsia="zh-CN"/>
              </w:rPr>
              <w:t>混凝土或钢结构构件温度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4" w:type="dxa"/>
            <w:vMerge w:val="continue"/>
            <w:tcBorders>
              <w:top w:val="nil"/>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449" w:type="dxa"/>
            <w:vMerge w:val="restart"/>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2" w:line="288" w:lineRule="exact"/>
              <w:ind w:firstLine="0" w:firstLineChars="0"/>
              <w:jc w:val="center"/>
              <w:rPr>
                <w:rFonts w:ascii="宋体" w:hAnsi="宋体" w:cs="华光书宋_CNKI"/>
                <w:kern w:val="0"/>
                <w:sz w:val="21"/>
                <w:szCs w:val="21"/>
                <w:lang w:eastAsia="en-US"/>
              </w:rPr>
            </w:pPr>
            <w:r>
              <w:rPr>
                <w:rFonts w:ascii="宋体" w:hAnsi="宋体" w:cs="华光书宋_CNKI"/>
                <w:kern w:val="0"/>
                <w:sz w:val="21"/>
                <w:szCs w:val="21"/>
                <w:lang w:eastAsia="en-US"/>
              </w:rPr>
              <w:t>船舶撞击</w:t>
            </w: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2" w:line="288" w:lineRule="exact"/>
              <w:ind w:right="104"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桥墩加速度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4" w:type="dxa"/>
            <w:vMerge w:val="continue"/>
            <w:tcBorders>
              <w:top w:val="nil"/>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449" w:type="dxa"/>
            <w:vMerge w:val="continue"/>
            <w:tcBorders>
              <w:top w:val="nil"/>
              <w:left w:val="single" w:color="231F20" w:sz="4" w:space="0"/>
              <w:bottom w:val="single" w:color="231F20" w:sz="4" w:space="0"/>
              <w:right w:val="single" w:color="231F20" w:sz="4" w:space="0"/>
            </w:tcBorders>
            <w:vAlign w:val="center"/>
          </w:tcPr>
          <w:p>
            <w:pPr>
              <w:autoSpaceDE w:val="0"/>
              <w:autoSpaceDN w:val="0"/>
              <w:spacing w:before="32" w:line="288" w:lineRule="exact"/>
              <w:ind w:left="16" w:firstLine="420" w:firstLineChars="0"/>
              <w:jc w:val="center"/>
              <w:rPr>
                <w:rFonts w:ascii="宋体" w:hAnsi="宋体" w:cs="华光书宋_CNKI"/>
                <w:kern w:val="0"/>
                <w:sz w:val="21"/>
                <w:szCs w:val="21"/>
                <w:lang w:eastAsia="en-US"/>
              </w:rPr>
            </w:pP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2" w:line="288" w:lineRule="exact"/>
              <w:ind w:right="104"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视频图像</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4" w:type="dxa"/>
            <w:vMerge w:val="continue"/>
            <w:tcBorders>
              <w:top w:val="nil"/>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449" w:type="dxa"/>
            <w:vMerge w:val="restart"/>
            <w:tcBorders>
              <w:top w:val="nil"/>
              <w:left w:val="single" w:color="231F20" w:sz="4" w:space="0"/>
              <w:right w:val="single" w:color="231F20" w:sz="4" w:space="0"/>
            </w:tcBorders>
            <w:vAlign w:val="center"/>
          </w:tcPr>
          <w:p>
            <w:pPr>
              <w:autoSpaceDE w:val="0"/>
              <w:autoSpaceDN w:val="0"/>
              <w:spacing w:before="32" w:line="288" w:lineRule="exact"/>
              <w:ind w:firstLine="0" w:firstLineChars="0"/>
              <w:jc w:val="center"/>
              <w:rPr>
                <w:rFonts w:ascii="宋体" w:hAnsi="宋体" w:cs="华光书宋_CNKI"/>
                <w:kern w:val="0"/>
                <w:sz w:val="21"/>
                <w:szCs w:val="21"/>
                <w:lang w:eastAsia="en-US"/>
              </w:rPr>
            </w:pPr>
            <w:r>
              <w:rPr>
                <w:rFonts w:hint="eastAsia" w:ascii="宋体" w:hAnsi="宋体" w:cs="华光书宋_CNKI"/>
                <w:kern w:val="0"/>
                <w:sz w:val="21"/>
                <w:szCs w:val="21"/>
                <w:lang w:eastAsia="en-US"/>
              </w:rPr>
              <w:t>车辆</w:t>
            </w:r>
            <w:r>
              <w:rPr>
                <w:rFonts w:ascii="宋体" w:hAnsi="宋体" w:cs="华光书宋_CNKI"/>
                <w:kern w:val="0"/>
                <w:sz w:val="21"/>
                <w:szCs w:val="21"/>
                <w:lang w:eastAsia="en-US"/>
              </w:rPr>
              <w:t>撞击</w:t>
            </w: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2" w:line="288" w:lineRule="exact"/>
              <w:ind w:right="104"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桥墩加速度</w:t>
            </w:r>
          </w:p>
        </w:tc>
        <w:tc>
          <w:tcPr>
            <w:tcW w:w="1571"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4" w:type="dxa"/>
            <w:vMerge w:val="continue"/>
            <w:tcBorders>
              <w:top w:val="nil"/>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449" w:type="dxa"/>
            <w:vMerge w:val="continue"/>
            <w:tcBorders>
              <w:left w:val="single" w:color="231F20" w:sz="4" w:space="0"/>
              <w:bottom w:val="single" w:color="231F20" w:sz="4" w:space="0"/>
              <w:right w:val="single" w:color="231F20" w:sz="4" w:space="0"/>
            </w:tcBorders>
            <w:vAlign w:val="center"/>
          </w:tcPr>
          <w:p>
            <w:pPr>
              <w:autoSpaceDE w:val="0"/>
              <w:autoSpaceDN w:val="0"/>
              <w:spacing w:before="32" w:line="288" w:lineRule="exact"/>
              <w:ind w:left="16" w:firstLine="420" w:firstLineChars="0"/>
              <w:jc w:val="center"/>
              <w:rPr>
                <w:rFonts w:ascii="宋体" w:hAnsi="宋体" w:cs="华光书宋_CNKI"/>
                <w:kern w:val="0"/>
                <w:sz w:val="21"/>
                <w:szCs w:val="21"/>
                <w:lang w:eastAsia="en-US"/>
              </w:rPr>
            </w:pP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2" w:line="288" w:lineRule="exact"/>
              <w:ind w:right="104"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视频图像</w:t>
            </w:r>
          </w:p>
        </w:tc>
        <w:tc>
          <w:tcPr>
            <w:tcW w:w="1571"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4" w:type="dxa"/>
            <w:vMerge w:val="continue"/>
            <w:tcBorders>
              <w:top w:val="nil"/>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449" w:type="dxa"/>
            <w:vMerge w:val="restart"/>
            <w:tcBorders>
              <w:top w:val="single" w:color="231F20" w:sz="4" w:space="0"/>
              <w:left w:val="single" w:color="231F20" w:sz="4" w:space="0"/>
              <w:right w:val="single" w:color="231F20" w:sz="4" w:space="0"/>
            </w:tcBorders>
            <w:vAlign w:val="center"/>
          </w:tcPr>
          <w:p>
            <w:pPr>
              <w:autoSpaceDE w:val="0"/>
              <w:autoSpaceDN w:val="0"/>
              <w:spacing w:before="32" w:line="288" w:lineRule="exact"/>
              <w:ind w:firstLine="0" w:firstLineChars="0"/>
              <w:jc w:val="center"/>
              <w:rPr>
                <w:rFonts w:ascii="宋体" w:hAnsi="宋体" w:cs="华光书宋_CNKI"/>
                <w:kern w:val="0"/>
                <w:sz w:val="21"/>
                <w:szCs w:val="21"/>
                <w:lang w:eastAsia="en-US"/>
              </w:rPr>
            </w:pPr>
            <w:r>
              <w:rPr>
                <w:rFonts w:ascii="宋体" w:hAnsi="宋体" w:cs="华光书宋_CNKI"/>
                <w:kern w:val="0"/>
                <w:sz w:val="21"/>
                <w:szCs w:val="21"/>
                <w:lang w:eastAsia="en-US"/>
              </w:rPr>
              <w:t>地震</w:t>
            </w: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2" w:line="288" w:lineRule="exact"/>
              <w:ind w:right="104"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桥岸地表场地加速度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68" w:hRule="atLeast"/>
        </w:trPr>
        <w:tc>
          <w:tcPr>
            <w:tcW w:w="834" w:type="dxa"/>
            <w:vMerge w:val="continue"/>
            <w:tcBorders>
              <w:top w:val="nil"/>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449" w:type="dxa"/>
            <w:vMerge w:val="continue"/>
            <w:tcBorders>
              <w:top w:val="nil"/>
              <w:left w:val="single" w:color="231F20" w:sz="4" w:space="0"/>
              <w:right w:val="single" w:color="231F20" w:sz="4" w:space="0"/>
            </w:tcBorders>
            <w:vAlign w:val="center"/>
          </w:tcPr>
          <w:p>
            <w:pPr>
              <w:autoSpaceDE w:val="0"/>
              <w:autoSpaceDN w:val="0"/>
              <w:spacing w:before="32" w:line="288" w:lineRule="exact"/>
              <w:ind w:left="16" w:firstLine="420" w:firstLineChars="0"/>
              <w:jc w:val="center"/>
              <w:rPr>
                <w:rFonts w:ascii="宋体" w:hAnsi="宋体" w:cs="华光书宋_CNKI"/>
                <w:kern w:val="0"/>
                <w:sz w:val="21"/>
                <w:szCs w:val="21"/>
                <w:lang w:eastAsia="en-US"/>
              </w:rPr>
            </w:pP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77" w:lineRule="exact"/>
              <w:ind w:right="104" w:firstLine="0" w:firstLineChars="0"/>
              <w:jc w:val="center"/>
              <w:rPr>
                <w:rFonts w:ascii="宋体" w:hAnsi="宋体" w:cs="华光书宋_CNKI"/>
                <w:kern w:val="0"/>
                <w:sz w:val="21"/>
                <w:szCs w:val="21"/>
                <w:lang w:eastAsia="zh-CN"/>
              </w:rPr>
            </w:pPr>
            <w:r>
              <w:rPr>
                <w:rFonts w:ascii="宋体" w:hAnsi="宋体" w:cs="华光书宋_CNKI"/>
                <w:w w:val="105"/>
                <w:kern w:val="0"/>
                <w:sz w:val="21"/>
                <w:szCs w:val="21"/>
                <w:lang w:eastAsia="zh-CN"/>
              </w:rPr>
              <w:t>承台顶或桥墩底部加速度</w:t>
            </w:r>
          </w:p>
          <w:p>
            <w:pPr>
              <w:autoSpaceDE w:val="0"/>
              <w:autoSpaceDN w:val="0"/>
              <w:spacing w:line="285" w:lineRule="exact"/>
              <w:ind w:right="104" w:firstLine="0" w:firstLineChars="0"/>
              <w:jc w:val="center"/>
              <w:rPr>
                <w:rFonts w:ascii="宋体" w:hAnsi="宋体" w:cs="华光书宋_CNKI"/>
                <w:kern w:val="0"/>
                <w:sz w:val="21"/>
                <w:szCs w:val="21"/>
                <w:lang w:eastAsia="zh-CN"/>
              </w:rPr>
            </w:pPr>
            <w:r>
              <w:rPr>
                <w:rFonts w:hint="eastAsia" w:ascii="宋体" w:hAnsi="宋体" w:cs="华光书宋_CNKI"/>
                <w:w w:val="110"/>
                <w:kern w:val="0"/>
                <w:sz w:val="21"/>
                <w:szCs w:val="21"/>
                <w:lang w:eastAsia="zh-CN"/>
              </w:rPr>
              <w:t>（</w:t>
            </w:r>
            <w:r>
              <w:rPr>
                <w:rFonts w:ascii="宋体" w:hAnsi="宋体" w:cs="华光书宋_CNKI"/>
                <w:w w:val="110"/>
                <w:kern w:val="0"/>
                <w:sz w:val="21"/>
                <w:szCs w:val="21"/>
                <w:lang w:eastAsia="zh-CN"/>
              </w:rPr>
              <w:t>抗震设防烈度为</w:t>
            </w:r>
            <w:r>
              <w:rPr>
                <w:rFonts w:hint="eastAsia" w:ascii="宋体" w:hAnsi="宋体" w:cs="华光书宋_CNKI"/>
                <w:w w:val="110"/>
                <w:kern w:val="0"/>
                <w:sz w:val="21"/>
                <w:szCs w:val="21"/>
                <w:lang w:eastAsia="zh-CN"/>
              </w:rPr>
              <w:t>7</w:t>
            </w:r>
            <w:r>
              <w:rPr>
                <w:rFonts w:ascii="宋体" w:hAnsi="宋体" w:cs="华光书宋_CNKI"/>
                <w:w w:val="110"/>
                <w:kern w:val="0"/>
                <w:sz w:val="21"/>
                <w:szCs w:val="21"/>
                <w:lang w:eastAsia="zh-CN"/>
              </w:rPr>
              <w:t>度及以上</w:t>
            </w:r>
            <w:r>
              <w:rPr>
                <w:rFonts w:hint="eastAsia" w:ascii="宋体" w:hAnsi="宋体" w:cs="华光书宋_CNKI"/>
                <w:w w:val="110"/>
                <w:kern w:val="0"/>
                <w:sz w:val="21"/>
                <w:szCs w:val="21"/>
                <w:lang w:eastAsia="zh-CN"/>
              </w:rPr>
              <w:t>）</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692" w:hRule="atLeast"/>
        </w:trPr>
        <w:tc>
          <w:tcPr>
            <w:tcW w:w="834" w:type="dxa"/>
            <w:vMerge w:val="continue"/>
            <w:tcBorders>
              <w:top w:val="nil"/>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449" w:type="dxa"/>
            <w:vMerge w:val="continue"/>
            <w:tcBorders>
              <w:top w:val="nil"/>
              <w:left w:val="single" w:color="231F20" w:sz="4" w:space="0"/>
              <w:right w:val="single" w:color="231F20" w:sz="4" w:space="0"/>
            </w:tcBorders>
            <w:vAlign w:val="center"/>
          </w:tcPr>
          <w:p>
            <w:pPr>
              <w:autoSpaceDE w:val="0"/>
              <w:autoSpaceDN w:val="0"/>
              <w:spacing w:before="32" w:line="288" w:lineRule="exact"/>
              <w:ind w:left="16" w:firstLine="420" w:firstLineChars="0"/>
              <w:jc w:val="center"/>
              <w:rPr>
                <w:rFonts w:ascii="宋体" w:hAnsi="宋体" w:cs="华光书宋_CNKI"/>
                <w:kern w:val="0"/>
                <w:sz w:val="21"/>
                <w:szCs w:val="21"/>
                <w:lang w:eastAsia="en-US"/>
              </w:rPr>
            </w:pPr>
          </w:p>
        </w:tc>
        <w:tc>
          <w:tcPr>
            <w:tcW w:w="4452" w:type="dxa"/>
            <w:tcBorders>
              <w:top w:val="single" w:color="231F20" w:sz="4" w:space="0"/>
              <w:left w:val="single" w:color="231F20" w:sz="4" w:space="0"/>
              <w:right w:val="single" w:color="231F20" w:sz="4" w:space="0"/>
            </w:tcBorders>
            <w:vAlign w:val="center"/>
          </w:tcPr>
          <w:p>
            <w:pPr>
              <w:autoSpaceDE w:val="0"/>
              <w:autoSpaceDN w:val="0"/>
              <w:spacing w:line="277" w:lineRule="exact"/>
              <w:ind w:right="104" w:firstLine="0" w:firstLineChars="0"/>
              <w:jc w:val="center"/>
              <w:rPr>
                <w:rFonts w:ascii="宋体" w:hAnsi="宋体" w:cs="华光书宋_CNKI"/>
                <w:kern w:val="0"/>
                <w:sz w:val="21"/>
                <w:szCs w:val="21"/>
                <w:lang w:eastAsia="zh-CN"/>
              </w:rPr>
            </w:pPr>
            <w:r>
              <w:rPr>
                <w:rFonts w:ascii="宋体" w:hAnsi="宋体" w:cs="华光书宋_CNKI"/>
                <w:w w:val="105"/>
                <w:kern w:val="0"/>
                <w:sz w:val="21"/>
                <w:szCs w:val="21"/>
                <w:lang w:eastAsia="zh-CN"/>
              </w:rPr>
              <w:t>承台顶或桥墩底部加速度</w:t>
            </w:r>
          </w:p>
          <w:p>
            <w:pPr>
              <w:autoSpaceDE w:val="0"/>
              <w:autoSpaceDN w:val="0"/>
              <w:spacing w:line="285" w:lineRule="exact"/>
              <w:ind w:right="104" w:firstLine="0" w:firstLineChars="0"/>
              <w:jc w:val="center"/>
              <w:rPr>
                <w:rFonts w:ascii="宋体" w:hAnsi="宋体" w:cs="华光书宋_CNKI"/>
                <w:kern w:val="0"/>
                <w:sz w:val="21"/>
                <w:szCs w:val="21"/>
                <w:lang w:eastAsia="zh-CN"/>
              </w:rPr>
            </w:pPr>
            <w:r>
              <w:rPr>
                <w:rFonts w:hint="eastAsia" w:ascii="宋体" w:hAnsi="宋体" w:cs="华光书宋_CNKI"/>
                <w:w w:val="110"/>
                <w:kern w:val="0"/>
                <w:sz w:val="21"/>
                <w:szCs w:val="21"/>
                <w:lang w:eastAsia="zh-CN"/>
              </w:rPr>
              <w:t>（</w:t>
            </w:r>
            <w:r>
              <w:rPr>
                <w:rFonts w:ascii="宋体" w:hAnsi="宋体" w:cs="华光书宋_CNKI"/>
                <w:w w:val="110"/>
                <w:kern w:val="0"/>
                <w:sz w:val="21"/>
                <w:szCs w:val="21"/>
                <w:lang w:eastAsia="zh-CN"/>
              </w:rPr>
              <w:t>抗震设防烈度为</w:t>
            </w:r>
            <w:r>
              <w:rPr>
                <w:rFonts w:hint="eastAsia" w:ascii="宋体" w:hAnsi="宋体" w:cs="华光书宋_CNKI"/>
                <w:w w:val="110"/>
                <w:kern w:val="0"/>
                <w:sz w:val="21"/>
                <w:szCs w:val="21"/>
                <w:lang w:eastAsia="zh-CN"/>
              </w:rPr>
              <w:t>7</w:t>
            </w:r>
            <w:r>
              <w:rPr>
                <w:rFonts w:ascii="宋体" w:hAnsi="宋体" w:cs="华光书宋_CNKI"/>
                <w:w w:val="110"/>
                <w:kern w:val="0"/>
                <w:sz w:val="21"/>
                <w:szCs w:val="21"/>
                <w:lang w:eastAsia="zh-CN"/>
              </w:rPr>
              <w:t>度以下</w:t>
            </w:r>
            <w:r>
              <w:rPr>
                <w:rFonts w:hint="eastAsia" w:ascii="宋体" w:hAnsi="宋体" w:cs="华光书宋_CNKI"/>
                <w:w w:val="110"/>
                <w:kern w:val="0"/>
                <w:sz w:val="21"/>
                <w:szCs w:val="21"/>
                <w:lang w:eastAsia="zh-CN"/>
              </w:rPr>
              <w:t>）</w:t>
            </w:r>
          </w:p>
        </w:tc>
        <w:tc>
          <w:tcPr>
            <w:tcW w:w="1571" w:type="dxa"/>
            <w:tcBorders>
              <w:top w:val="single" w:color="231F20" w:sz="4" w:space="0"/>
              <w:lef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5" w:hRule="atLeast"/>
        </w:trPr>
        <w:tc>
          <w:tcPr>
            <w:tcW w:w="834" w:type="dxa"/>
            <w:vMerge w:val="restart"/>
            <w:tcBorders>
              <w:bottom w:val="single" w:color="231F20" w:sz="4" w:space="0"/>
              <w:right w:val="single" w:color="231F20" w:sz="4" w:space="0"/>
            </w:tcBorders>
            <w:vAlign w:val="center"/>
          </w:tcPr>
          <w:p>
            <w:pPr>
              <w:autoSpaceDE w:val="0"/>
              <w:autoSpaceDN w:val="0"/>
              <w:spacing w:before="1"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结构</w:t>
            </w:r>
          </w:p>
          <w:p>
            <w:pPr>
              <w:autoSpaceDE w:val="0"/>
              <w:autoSpaceDN w:val="0"/>
              <w:spacing w:before="1"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响应</w:t>
            </w:r>
          </w:p>
        </w:tc>
        <w:tc>
          <w:tcPr>
            <w:tcW w:w="1449" w:type="dxa"/>
            <w:vMerge w:val="restart"/>
            <w:tcBorders>
              <w:left w:val="single" w:color="231F20" w:sz="4" w:space="0"/>
              <w:bottom w:val="single" w:color="231F20" w:sz="4" w:space="0"/>
              <w:right w:val="single" w:color="231F20" w:sz="4" w:space="0"/>
            </w:tcBorders>
            <w:vAlign w:val="center"/>
          </w:tcPr>
          <w:p>
            <w:pPr>
              <w:autoSpaceDE w:val="0"/>
              <w:autoSpaceDN w:val="0"/>
              <w:spacing w:before="32" w:line="288" w:lineRule="exact"/>
              <w:ind w:firstLine="0" w:firstLineChars="0"/>
              <w:jc w:val="center"/>
              <w:rPr>
                <w:rFonts w:ascii="宋体" w:hAnsi="宋体" w:cs="华光书宋_CNKI"/>
                <w:kern w:val="0"/>
                <w:sz w:val="21"/>
                <w:szCs w:val="21"/>
                <w:lang w:eastAsia="en-US"/>
              </w:rPr>
            </w:pPr>
            <w:r>
              <w:rPr>
                <w:rFonts w:ascii="宋体" w:hAnsi="宋体" w:cs="华光书宋_CNKI"/>
                <w:kern w:val="0"/>
                <w:sz w:val="21"/>
                <w:szCs w:val="21"/>
                <w:lang w:eastAsia="en-US"/>
              </w:rPr>
              <w:t>位移</w:t>
            </w:r>
          </w:p>
        </w:tc>
        <w:tc>
          <w:tcPr>
            <w:tcW w:w="4452" w:type="dxa"/>
            <w:tcBorders>
              <w:left w:val="single" w:color="231F20" w:sz="4" w:space="0"/>
              <w:bottom w:val="single" w:color="231F20" w:sz="4" w:space="0"/>
              <w:right w:val="single" w:color="231F20" w:sz="4" w:space="0"/>
            </w:tcBorders>
            <w:vAlign w:val="center"/>
          </w:tcPr>
          <w:p>
            <w:pPr>
              <w:autoSpaceDE w:val="0"/>
              <w:autoSpaceDN w:val="0"/>
              <w:spacing w:line="285" w:lineRule="exact"/>
              <w:ind w:right="104" w:firstLine="0" w:firstLineChars="0"/>
              <w:jc w:val="center"/>
              <w:rPr>
                <w:rFonts w:ascii="宋体" w:hAnsi="宋体" w:cs="华光书宋_CNKI"/>
                <w:w w:val="110"/>
                <w:kern w:val="0"/>
                <w:sz w:val="21"/>
                <w:szCs w:val="21"/>
                <w:lang w:eastAsia="en-US"/>
              </w:rPr>
            </w:pPr>
            <w:r>
              <w:rPr>
                <w:rFonts w:ascii="宋体" w:hAnsi="宋体" w:cs="华光书宋_CNKI"/>
                <w:w w:val="110"/>
                <w:kern w:val="0"/>
                <w:sz w:val="21"/>
                <w:szCs w:val="21"/>
                <w:lang w:eastAsia="en-US"/>
              </w:rPr>
              <w:t>主梁竖向位移</w:t>
            </w:r>
          </w:p>
        </w:tc>
        <w:tc>
          <w:tcPr>
            <w:tcW w:w="1571" w:type="dxa"/>
            <w:tcBorders>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4"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449" w:type="dxa"/>
            <w:vMerge w:val="continue"/>
            <w:tcBorders>
              <w:top w:val="nil"/>
              <w:left w:val="single" w:color="231F20" w:sz="4" w:space="0"/>
              <w:bottom w:val="single" w:color="231F20" w:sz="4" w:space="0"/>
              <w:right w:val="single" w:color="231F20" w:sz="4" w:space="0"/>
            </w:tcBorders>
            <w:vAlign w:val="center"/>
          </w:tcPr>
          <w:p>
            <w:pPr>
              <w:autoSpaceDE w:val="0"/>
              <w:autoSpaceDN w:val="0"/>
              <w:spacing w:before="32" w:line="288" w:lineRule="exact"/>
              <w:ind w:left="16" w:firstLine="420" w:firstLineChars="0"/>
              <w:jc w:val="center"/>
              <w:rPr>
                <w:rFonts w:ascii="宋体" w:hAnsi="宋体" w:cs="华光书宋_CNKI"/>
                <w:kern w:val="0"/>
                <w:sz w:val="21"/>
                <w:szCs w:val="21"/>
                <w:lang w:eastAsia="en-US"/>
              </w:rPr>
            </w:pP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85" w:lineRule="exact"/>
              <w:ind w:right="104" w:firstLine="0" w:firstLineChars="0"/>
              <w:jc w:val="center"/>
              <w:rPr>
                <w:rFonts w:ascii="宋体" w:hAnsi="宋体" w:cs="华光书宋_CNKI"/>
                <w:w w:val="110"/>
                <w:kern w:val="0"/>
                <w:sz w:val="21"/>
                <w:szCs w:val="21"/>
                <w:lang w:eastAsia="en-US"/>
              </w:rPr>
            </w:pPr>
            <w:r>
              <w:rPr>
                <w:rFonts w:ascii="宋体" w:hAnsi="宋体" w:cs="华光书宋_CNKI"/>
                <w:w w:val="110"/>
                <w:kern w:val="0"/>
                <w:sz w:val="21"/>
                <w:szCs w:val="21"/>
                <w:lang w:eastAsia="en-US"/>
              </w:rPr>
              <w:t>主梁横向位移</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4"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449" w:type="dxa"/>
            <w:vMerge w:val="continue"/>
            <w:tcBorders>
              <w:top w:val="nil"/>
              <w:left w:val="single" w:color="231F20" w:sz="4" w:space="0"/>
              <w:bottom w:val="single" w:color="231F20" w:sz="4" w:space="0"/>
              <w:right w:val="single" w:color="231F20" w:sz="4" w:space="0"/>
            </w:tcBorders>
            <w:vAlign w:val="center"/>
          </w:tcPr>
          <w:p>
            <w:pPr>
              <w:autoSpaceDE w:val="0"/>
              <w:autoSpaceDN w:val="0"/>
              <w:spacing w:before="32" w:line="288" w:lineRule="exact"/>
              <w:ind w:left="16" w:firstLine="420" w:firstLineChars="0"/>
              <w:jc w:val="center"/>
              <w:rPr>
                <w:rFonts w:ascii="宋体" w:hAnsi="宋体" w:cs="华光书宋_CNKI"/>
                <w:kern w:val="0"/>
                <w:sz w:val="21"/>
                <w:szCs w:val="21"/>
                <w:lang w:eastAsia="en-US"/>
              </w:rPr>
            </w:pP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85" w:lineRule="exact"/>
              <w:ind w:right="104" w:firstLine="0" w:firstLineChars="0"/>
              <w:jc w:val="center"/>
              <w:rPr>
                <w:rFonts w:ascii="宋体" w:hAnsi="宋体" w:cs="华光书宋_CNKI"/>
                <w:w w:val="110"/>
                <w:kern w:val="0"/>
                <w:sz w:val="21"/>
                <w:szCs w:val="21"/>
                <w:lang w:eastAsia="en-US"/>
              </w:rPr>
            </w:pPr>
            <w:r>
              <w:rPr>
                <w:rFonts w:ascii="宋体" w:hAnsi="宋体" w:cs="华光书宋_CNKI"/>
                <w:w w:val="110"/>
                <w:kern w:val="0"/>
                <w:sz w:val="21"/>
                <w:szCs w:val="21"/>
                <w:lang w:eastAsia="en-US"/>
              </w:rPr>
              <w:t>支座位移</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4"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449" w:type="dxa"/>
            <w:vMerge w:val="continue"/>
            <w:tcBorders>
              <w:top w:val="nil"/>
              <w:left w:val="single" w:color="231F20" w:sz="4" w:space="0"/>
              <w:bottom w:val="single" w:color="231F20" w:sz="4" w:space="0"/>
              <w:right w:val="single" w:color="231F20" w:sz="4" w:space="0"/>
            </w:tcBorders>
            <w:vAlign w:val="center"/>
          </w:tcPr>
          <w:p>
            <w:pPr>
              <w:autoSpaceDE w:val="0"/>
              <w:autoSpaceDN w:val="0"/>
              <w:spacing w:before="32" w:line="288" w:lineRule="exact"/>
              <w:ind w:left="16" w:firstLine="420" w:firstLineChars="0"/>
              <w:jc w:val="center"/>
              <w:rPr>
                <w:rFonts w:ascii="宋体" w:hAnsi="宋体" w:cs="华光书宋_CNKI"/>
                <w:kern w:val="0"/>
                <w:sz w:val="21"/>
                <w:szCs w:val="21"/>
                <w:lang w:eastAsia="en-US"/>
              </w:rPr>
            </w:pP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85" w:lineRule="exact"/>
              <w:ind w:right="104" w:firstLine="0" w:firstLineChars="0"/>
              <w:jc w:val="center"/>
              <w:rPr>
                <w:rFonts w:ascii="宋体" w:hAnsi="宋体" w:cs="华光书宋_CNKI"/>
                <w:w w:val="110"/>
                <w:kern w:val="0"/>
                <w:sz w:val="21"/>
                <w:szCs w:val="21"/>
                <w:lang w:eastAsia="en-US"/>
              </w:rPr>
            </w:pPr>
            <w:r>
              <w:rPr>
                <w:rFonts w:ascii="宋体" w:hAnsi="宋体" w:cs="华光书宋_CNKI"/>
                <w:w w:val="110"/>
                <w:kern w:val="0"/>
                <w:sz w:val="21"/>
                <w:szCs w:val="21"/>
                <w:lang w:eastAsia="en-US"/>
              </w:rPr>
              <w:t>梁端纵向位移</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4"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449" w:type="dxa"/>
            <w:vMerge w:val="continue"/>
            <w:tcBorders>
              <w:top w:val="nil"/>
              <w:left w:val="single" w:color="231F20" w:sz="4" w:space="0"/>
              <w:bottom w:val="single" w:color="231F20" w:sz="4" w:space="0"/>
              <w:right w:val="single" w:color="231F20" w:sz="4" w:space="0"/>
            </w:tcBorders>
            <w:vAlign w:val="center"/>
          </w:tcPr>
          <w:p>
            <w:pPr>
              <w:autoSpaceDE w:val="0"/>
              <w:autoSpaceDN w:val="0"/>
              <w:spacing w:before="32" w:line="288" w:lineRule="exact"/>
              <w:ind w:left="16" w:firstLine="420" w:firstLineChars="0"/>
              <w:jc w:val="center"/>
              <w:rPr>
                <w:rFonts w:ascii="宋体" w:hAnsi="宋体" w:cs="华光书宋_CNKI"/>
                <w:kern w:val="0"/>
                <w:sz w:val="21"/>
                <w:szCs w:val="21"/>
                <w:lang w:eastAsia="en-US"/>
              </w:rPr>
            </w:pP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85" w:lineRule="exact"/>
              <w:ind w:right="104" w:firstLine="0" w:firstLineChars="0"/>
              <w:jc w:val="center"/>
              <w:rPr>
                <w:rFonts w:ascii="宋体" w:hAnsi="宋体" w:cs="华光书宋_CNKI"/>
                <w:w w:val="110"/>
                <w:kern w:val="0"/>
                <w:sz w:val="21"/>
                <w:szCs w:val="21"/>
                <w:lang w:eastAsia="en-US"/>
              </w:rPr>
            </w:pPr>
            <w:r>
              <w:rPr>
                <w:rFonts w:ascii="宋体" w:hAnsi="宋体" w:cs="华光书宋_CNKI"/>
                <w:w w:val="110"/>
                <w:kern w:val="0"/>
                <w:sz w:val="21"/>
                <w:szCs w:val="21"/>
                <w:lang w:eastAsia="en-US"/>
              </w:rPr>
              <w:t>拱顶位移</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4"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449" w:type="dxa"/>
            <w:vMerge w:val="restart"/>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2" w:line="288" w:lineRule="exact"/>
              <w:ind w:firstLine="0" w:firstLineChars="0"/>
              <w:jc w:val="center"/>
              <w:rPr>
                <w:rFonts w:ascii="宋体" w:hAnsi="宋体" w:cs="华光书宋_CNKI"/>
                <w:kern w:val="0"/>
                <w:sz w:val="21"/>
                <w:szCs w:val="21"/>
                <w:lang w:eastAsia="en-US"/>
              </w:rPr>
            </w:pPr>
            <w:r>
              <w:rPr>
                <w:rFonts w:ascii="宋体" w:hAnsi="宋体" w:cs="华光书宋_CNKI"/>
                <w:kern w:val="0"/>
                <w:sz w:val="21"/>
                <w:szCs w:val="21"/>
                <w:lang w:eastAsia="en-US"/>
              </w:rPr>
              <w:t>应变</w:t>
            </w: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85" w:lineRule="exact"/>
              <w:ind w:right="104" w:firstLine="0" w:firstLineChars="0"/>
              <w:jc w:val="center"/>
              <w:rPr>
                <w:rFonts w:ascii="宋体" w:hAnsi="宋体" w:cs="华光书宋_CNKI"/>
                <w:w w:val="110"/>
                <w:kern w:val="0"/>
                <w:sz w:val="21"/>
                <w:szCs w:val="21"/>
                <w:lang w:eastAsia="en-US"/>
              </w:rPr>
            </w:pPr>
            <w:r>
              <w:rPr>
                <w:rFonts w:ascii="宋体" w:hAnsi="宋体" w:cs="华光书宋_CNKI"/>
                <w:w w:val="110"/>
                <w:kern w:val="0"/>
                <w:sz w:val="21"/>
                <w:szCs w:val="21"/>
                <w:lang w:eastAsia="en-US"/>
              </w:rPr>
              <w:t>主梁关键截面应变</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4"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449" w:type="dxa"/>
            <w:vMerge w:val="continue"/>
            <w:tcBorders>
              <w:top w:val="nil"/>
              <w:left w:val="single" w:color="231F20" w:sz="4" w:space="0"/>
              <w:bottom w:val="single" w:color="231F20" w:sz="4" w:space="0"/>
              <w:right w:val="single" w:color="231F20" w:sz="4" w:space="0"/>
            </w:tcBorders>
            <w:vAlign w:val="center"/>
          </w:tcPr>
          <w:p>
            <w:pPr>
              <w:autoSpaceDE w:val="0"/>
              <w:autoSpaceDN w:val="0"/>
              <w:spacing w:before="32" w:line="288" w:lineRule="exact"/>
              <w:ind w:left="16" w:firstLine="420" w:firstLineChars="0"/>
              <w:jc w:val="center"/>
              <w:rPr>
                <w:rFonts w:ascii="宋体" w:hAnsi="宋体" w:cs="华光书宋_CNKI"/>
                <w:kern w:val="0"/>
                <w:sz w:val="21"/>
                <w:szCs w:val="21"/>
                <w:lang w:eastAsia="en-US"/>
              </w:rPr>
            </w:pP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85" w:lineRule="exact"/>
              <w:ind w:right="104" w:firstLine="0" w:firstLineChars="0"/>
              <w:jc w:val="center"/>
              <w:rPr>
                <w:rFonts w:ascii="宋体" w:hAnsi="宋体" w:cs="华光书宋_CNKI"/>
                <w:w w:val="110"/>
                <w:kern w:val="0"/>
                <w:sz w:val="21"/>
                <w:szCs w:val="21"/>
                <w:lang w:eastAsia="en-US"/>
              </w:rPr>
            </w:pPr>
            <w:r>
              <w:rPr>
                <w:rFonts w:ascii="宋体" w:hAnsi="宋体" w:cs="华光书宋_CNKI"/>
                <w:w w:val="110"/>
                <w:kern w:val="0"/>
                <w:sz w:val="21"/>
                <w:szCs w:val="21"/>
                <w:lang w:eastAsia="en-US"/>
              </w:rPr>
              <w:t>主拱关键截面应变</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4"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449" w:type="dxa"/>
            <w:vMerge w:val="restart"/>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2" w:line="288" w:lineRule="exact"/>
              <w:ind w:firstLine="0" w:firstLineChars="0"/>
              <w:jc w:val="center"/>
              <w:rPr>
                <w:rFonts w:ascii="宋体" w:hAnsi="宋体" w:cs="华光书宋_CNKI"/>
                <w:kern w:val="0"/>
                <w:sz w:val="21"/>
                <w:szCs w:val="21"/>
                <w:lang w:eastAsia="en-US"/>
              </w:rPr>
            </w:pPr>
            <w:r>
              <w:rPr>
                <w:rFonts w:ascii="宋体" w:hAnsi="宋体" w:cs="华光书宋_CNKI"/>
                <w:kern w:val="0"/>
                <w:sz w:val="21"/>
                <w:szCs w:val="21"/>
                <w:lang w:eastAsia="en-US"/>
              </w:rPr>
              <w:t>索力</w:t>
            </w: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85" w:lineRule="exact"/>
              <w:ind w:right="104" w:firstLine="0" w:firstLineChars="0"/>
              <w:jc w:val="center"/>
              <w:rPr>
                <w:rFonts w:ascii="宋体" w:hAnsi="宋体" w:cs="华光书宋_CNKI"/>
                <w:w w:val="110"/>
                <w:kern w:val="0"/>
                <w:sz w:val="21"/>
                <w:szCs w:val="21"/>
                <w:lang w:eastAsia="en-US"/>
              </w:rPr>
            </w:pPr>
            <w:r>
              <w:rPr>
                <w:rFonts w:ascii="宋体" w:hAnsi="宋体" w:cs="华光书宋_CNKI"/>
                <w:w w:val="110"/>
                <w:kern w:val="0"/>
                <w:sz w:val="21"/>
                <w:szCs w:val="21"/>
                <w:lang w:eastAsia="en-US"/>
              </w:rPr>
              <w:t>吊杆</w:t>
            </w:r>
            <w:r>
              <w:rPr>
                <w:rFonts w:hint="eastAsia" w:ascii="宋体" w:hAnsi="宋体" w:cs="华光书宋_CNKI"/>
                <w:w w:val="110"/>
                <w:kern w:val="0"/>
                <w:sz w:val="21"/>
                <w:szCs w:val="21"/>
                <w:lang w:eastAsia="en-US"/>
              </w:rPr>
              <w:t>（</w:t>
            </w:r>
            <w:r>
              <w:rPr>
                <w:rFonts w:ascii="宋体" w:hAnsi="宋体" w:cs="华光书宋_CNKI"/>
                <w:w w:val="110"/>
                <w:kern w:val="0"/>
                <w:sz w:val="21"/>
                <w:szCs w:val="21"/>
                <w:lang w:eastAsia="en-US"/>
              </w:rPr>
              <w:t>索</w:t>
            </w:r>
            <w:r>
              <w:rPr>
                <w:rFonts w:hint="eastAsia" w:ascii="宋体" w:hAnsi="宋体" w:cs="华光书宋_CNKI"/>
                <w:w w:val="110"/>
                <w:kern w:val="0"/>
                <w:sz w:val="21"/>
                <w:szCs w:val="21"/>
                <w:lang w:eastAsia="en-US"/>
              </w:rPr>
              <w:t>）</w:t>
            </w:r>
            <w:r>
              <w:rPr>
                <w:rFonts w:ascii="宋体" w:hAnsi="宋体" w:cs="华光书宋_CNKI"/>
                <w:w w:val="110"/>
                <w:kern w:val="0"/>
                <w:sz w:val="21"/>
                <w:szCs w:val="21"/>
                <w:lang w:eastAsia="en-US"/>
              </w:rPr>
              <w:t>力</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4"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449" w:type="dxa"/>
            <w:vMerge w:val="continue"/>
            <w:tcBorders>
              <w:top w:val="nil"/>
              <w:left w:val="single" w:color="231F20" w:sz="4" w:space="0"/>
              <w:bottom w:val="single" w:color="231F20" w:sz="4" w:space="0"/>
              <w:right w:val="single" w:color="231F20" w:sz="4" w:space="0"/>
            </w:tcBorders>
            <w:vAlign w:val="center"/>
          </w:tcPr>
          <w:p>
            <w:pPr>
              <w:autoSpaceDE w:val="0"/>
              <w:autoSpaceDN w:val="0"/>
              <w:spacing w:before="32" w:line="288" w:lineRule="exact"/>
              <w:ind w:left="16" w:firstLine="420" w:firstLineChars="0"/>
              <w:jc w:val="center"/>
              <w:rPr>
                <w:rFonts w:ascii="宋体" w:hAnsi="宋体" w:cs="华光书宋_CNKI"/>
                <w:kern w:val="0"/>
                <w:sz w:val="21"/>
                <w:szCs w:val="21"/>
                <w:lang w:eastAsia="en-US"/>
              </w:rPr>
            </w:pP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85" w:lineRule="exact"/>
              <w:ind w:right="104" w:firstLine="0" w:firstLineChars="0"/>
              <w:jc w:val="center"/>
              <w:rPr>
                <w:rFonts w:ascii="宋体" w:hAnsi="宋体" w:cs="华光书宋_CNKI"/>
                <w:w w:val="110"/>
                <w:kern w:val="0"/>
                <w:sz w:val="21"/>
                <w:szCs w:val="21"/>
                <w:lang w:eastAsia="en-US"/>
              </w:rPr>
            </w:pPr>
            <w:r>
              <w:rPr>
                <w:rFonts w:ascii="宋体" w:hAnsi="宋体" w:cs="华光书宋_CNKI"/>
                <w:w w:val="110"/>
                <w:kern w:val="0"/>
                <w:sz w:val="21"/>
                <w:szCs w:val="21"/>
                <w:lang w:eastAsia="en-US"/>
              </w:rPr>
              <w:t>系杆力</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4"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449"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2" w:line="288" w:lineRule="exact"/>
              <w:ind w:firstLine="0" w:firstLineChars="0"/>
              <w:jc w:val="center"/>
              <w:rPr>
                <w:rFonts w:ascii="宋体" w:hAnsi="宋体" w:cs="华光书宋_CNKI"/>
                <w:kern w:val="0"/>
                <w:sz w:val="21"/>
                <w:szCs w:val="21"/>
                <w:lang w:eastAsia="en-US"/>
              </w:rPr>
            </w:pPr>
            <w:r>
              <w:rPr>
                <w:rFonts w:ascii="宋体" w:hAnsi="宋体" w:cs="华光书宋_CNKI"/>
                <w:kern w:val="0"/>
                <w:sz w:val="21"/>
                <w:szCs w:val="21"/>
                <w:lang w:eastAsia="en-US"/>
              </w:rPr>
              <w:t>支座反力</w:t>
            </w: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85" w:lineRule="exact"/>
              <w:ind w:right="104" w:firstLine="0" w:firstLineChars="0"/>
              <w:jc w:val="center"/>
              <w:rPr>
                <w:rFonts w:ascii="宋体" w:hAnsi="宋体" w:cs="华光书宋_CNKI"/>
                <w:w w:val="110"/>
                <w:kern w:val="0"/>
                <w:sz w:val="21"/>
                <w:szCs w:val="21"/>
                <w:lang w:eastAsia="en-US"/>
              </w:rPr>
            </w:pPr>
            <w:r>
              <w:rPr>
                <w:rFonts w:ascii="宋体" w:hAnsi="宋体" w:cs="华光书宋_CNKI"/>
                <w:w w:val="110"/>
                <w:kern w:val="0"/>
                <w:sz w:val="21"/>
                <w:szCs w:val="21"/>
                <w:lang w:eastAsia="en-US"/>
              </w:rPr>
              <w:t>支座反力</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4"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449" w:type="dxa"/>
            <w:vMerge w:val="restart"/>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2" w:line="288" w:lineRule="exact"/>
              <w:ind w:firstLine="0" w:firstLineChars="0"/>
              <w:jc w:val="center"/>
              <w:rPr>
                <w:rFonts w:ascii="宋体" w:hAnsi="宋体" w:cs="华光书宋_CNKI"/>
                <w:kern w:val="0"/>
                <w:sz w:val="21"/>
                <w:szCs w:val="21"/>
                <w:lang w:eastAsia="en-US"/>
              </w:rPr>
            </w:pPr>
            <w:r>
              <w:rPr>
                <w:rFonts w:ascii="宋体" w:hAnsi="宋体" w:cs="华光书宋_CNKI"/>
                <w:kern w:val="0"/>
                <w:sz w:val="21"/>
                <w:szCs w:val="21"/>
                <w:lang w:eastAsia="en-US"/>
              </w:rPr>
              <w:t>振动</w:t>
            </w: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85" w:lineRule="exact"/>
              <w:ind w:right="104" w:firstLine="0" w:firstLineChars="0"/>
              <w:jc w:val="center"/>
              <w:rPr>
                <w:rFonts w:ascii="宋体" w:hAnsi="宋体" w:cs="华光书宋_CNKI"/>
                <w:w w:val="110"/>
                <w:kern w:val="0"/>
                <w:sz w:val="21"/>
                <w:szCs w:val="21"/>
                <w:lang w:eastAsia="en-US"/>
              </w:rPr>
            </w:pPr>
            <w:r>
              <w:rPr>
                <w:rFonts w:ascii="宋体" w:hAnsi="宋体" w:cs="华光书宋_CNKI"/>
                <w:w w:val="110"/>
                <w:kern w:val="0"/>
                <w:sz w:val="21"/>
                <w:szCs w:val="21"/>
                <w:lang w:eastAsia="en-US"/>
              </w:rPr>
              <w:t>主梁竖向振动加速度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4"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449" w:type="dxa"/>
            <w:vMerge w:val="continue"/>
            <w:tcBorders>
              <w:top w:val="nil"/>
              <w:left w:val="single" w:color="231F20" w:sz="4" w:space="0"/>
              <w:bottom w:val="single" w:color="231F20" w:sz="4" w:space="0"/>
              <w:right w:val="single" w:color="231F20" w:sz="4" w:space="0"/>
            </w:tcBorders>
            <w:vAlign w:val="center"/>
          </w:tcPr>
          <w:p>
            <w:pPr>
              <w:autoSpaceDE w:val="0"/>
              <w:autoSpaceDN w:val="0"/>
              <w:spacing w:before="32" w:line="288" w:lineRule="exact"/>
              <w:ind w:left="16" w:firstLine="420" w:firstLineChars="0"/>
              <w:jc w:val="center"/>
              <w:rPr>
                <w:rFonts w:ascii="宋体" w:hAnsi="宋体" w:cs="华光书宋_CNKI"/>
                <w:kern w:val="0"/>
                <w:sz w:val="21"/>
                <w:szCs w:val="21"/>
                <w:lang w:eastAsia="en-US"/>
              </w:rPr>
            </w:pP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85" w:lineRule="exact"/>
              <w:ind w:right="104" w:firstLine="0" w:firstLineChars="0"/>
              <w:jc w:val="center"/>
              <w:rPr>
                <w:rFonts w:ascii="宋体" w:hAnsi="宋体" w:cs="华光书宋_CNKI"/>
                <w:w w:val="110"/>
                <w:kern w:val="0"/>
                <w:sz w:val="21"/>
                <w:szCs w:val="21"/>
                <w:lang w:eastAsia="en-US"/>
              </w:rPr>
            </w:pPr>
            <w:r>
              <w:rPr>
                <w:rFonts w:ascii="宋体" w:hAnsi="宋体" w:cs="华光书宋_CNKI"/>
                <w:w w:val="110"/>
                <w:kern w:val="0"/>
                <w:sz w:val="21"/>
                <w:szCs w:val="21"/>
                <w:lang w:eastAsia="en-US"/>
              </w:rPr>
              <w:t>主梁横向振动加速度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4"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449" w:type="dxa"/>
            <w:vMerge w:val="continue"/>
            <w:tcBorders>
              <w:top w:val="nil"/>
              <w:left w:val="single" w:color="231F20" w:sz="4" w:space="0"/>
              <w:bottom w:val="single" w:color="231F20" w:sz="4" w:space="0"/>
              <w:right w:val="single" w:color="231F20" w:sz="4" w:space="0"/>
            </w:tcBorders>
            <w:vAlign w:val="center"/>
          </w:tcPr>
          <w:p>
            <w:pPr>
              <w:autoSpaceDE w:val="0"/>
              <w:autoSpaceDN w:val="0"/>
              <w:spacing w:before="32" w:line="288" w:lineRule="exact"/>
              <w:ind w:left="16" w:firstLine="420" w:firstLineChars="0"/>
              <w:jc w:val="center"/>
              <w:rPr>
                <w:rFonts w:ascii="宋体" w:hAnsi="宋体" w:cs="华光书宋_CNKI"/>
                <w:kern w:val="0"/>
                <w:sz w:val="21"/>
                <w:szCs w:val="21"/>
                <w:lang w:eastAsia="en-US"/>
              </w:rPr>
            </w:pP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85" w:lineRule="exact"/>
              <w:ind w:right="104" w:firstLine="0" w:firstLineChars="0"/>
              <w:jc w:val="center"/>
              <w:rPr>
                <w:rFonts w:ascii="宋体" w:hAnsi="宋体" w:cs="华光书宋_CNKI"/>
                <w:w w:val="110"/>
                <w:kern w:val="0"/>
                <w:sz w:val="21"/>
                <w:szCs w:val="21"/>
                <w:lang w:eastAsia="en-US"/>
              </w:rPr>
            </w:pPr>
            <w:r>
              <w:rPr>
                <w:rFonts w:ascii="宋体" w:hAnsi="宋体" w:cs="华光书宋_CNKI"/>
                <w:w w:val="110"/>
                <w:kern w:val="0"/>
                <w:sz w:val="21"/>
                <w:szCs w:val="21"/>
                <w:lang w:eastAsia="en-US"/>
              </w:rPr>
              <w:t>主拱振动加速度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4"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449" w:type="dxa"/>
            <w:vMerge w:val="continue"/>
            <w:tcBorders>
              <w:top w:val="nil"/>
              <w:left w:val="single" w:color="231F20" w:sz="4" w:space="0"/>
              <w:bottom w:val="single" w:color="231F20" w:sz="4" w:space="0"/>
              <w:right w:val="single" w:color="231F20" w:sz="4" w:space="0"/>
            </w:tcBorders>
            <w:vAlign w:val="center"/>
          </w:tcPr>
          <w:p>
            <w:pPr>
              <w:autoSpaceDE w:val="0"/>
              <w:autoSpaceDN w:val="0"/>
              <w:spacing w:before="32" w:line="288" w:lineRule="exact"/>
              <w:ind w:left="16" w:firstLine="420" w:firstLineChars="0"/>
              <w:jc w:val="center"/>
              <w:rPr>
                <w:rFonts w:ascii="宋体" w:hAnsi="宋体" w:cs="华光书宋_CNKI"/>
                <w:kern w:val="0"/>
                <w:sz w:val="21"/>
                <w:szCs w:val="21"/>
                <w:lang w:eastAsia="en-US"/>
              </w:rPr>
            </w:pP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85" w:lineRule="exact"/>
              <w:ind w:right="104" w:firstLine="0" w:firstLineChars="0"/>
              <w:jc w:val="center"/>
              <w:rPr>
                <w:rFonts w:ascii="宋体" w:hAnsi="宋体" w:cs="华光书宋_CNKI"/>
                <w:w w:val="110"/>
                <w:kern w:val="0"/>
                <w:sz w:val="21"/>
                <w:szCs w:val="21"/>
                <w:lang w:eastAsia="zh-CN"/>
              </w:rPr>
            </w:pPr>
            <w:r>
              <w:rPr>
                <w:rFonts w:ascii="宋体" w:hAnsi="宋体" w:cs="华光书宋_CNKI"/>
                <w:w w:val="110"/>
                <w:kern w:val="0"/>
                <w:sz w:val="21"/>
                <w:szCs w:val="21"/>
                <w:lang w:eastAsia="zh-CN"/>
              </w:rPr>
              <w:t>吊杆</w:t>
            </w:r>
            <w:r>
              <w:rPr>
                <w:rFonts w:hint="eastAsia" w:ascii="宋体" w:hAnsi="宋体" w:cs="华光书宋_CNKI"/>
                <w:w w:val="110"/>
                <w:kern w:val="0"/>
                <w:sz w:val="21"/>
                <w:szCs w:val="21"/>
                <w:lang w:eastAsia="zh-CN"/>
              </w:rPr>
              <w:t>（</w:t>
            </w:r>
            <w:r>
              <w:rPr>
                <w:rFonts w:ascii="宋体" w:hAnsi="宋体" w:cs="华光书宋_CNKI"/>
                <w:w w:val="110"/>
                <w:kern w:val="0"/>
                <w:sz w:val="21"/>
                <w:szCs w:val="21"/>
                <w:lang w:eastAsia="zh-CN"/>
              </w:rPr>
              <w:t>索</w:t>
            </w:r>
            <w:r>
              <w:rPr>
                <w:rFonts w:hint="eastAsia" w:ascii="宋体" w:hAnsi="宋体" w:cs="华光书宋_CNKI"/>
                <w:w w:val="110"/>
                <w:kern w:val="0"/>
                <w:sz w:val="21"/>
                <w:szCs w:val="21"/>
                <w:lang w:eastAsia="zh-CN"/>
              </w:rPr>
              <w:t>）</w:t>
            </w:r>
            <w:r>
              <w:rPr>
                <w:rFonts w:ascii="宋体" w:hAnsi="宋体" w:cs="华光书宋_CNKI"/>
                <w:w w:val="110"/>
                <w:kern w:val="0"/>
                <w:sz w:val="21"/>
                <w:szCs w:val="21"/>
                <w:lang w:eastAsia="zh-CN"/>
              </w:rPr>
              <w:t>振动加速度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5" w:hRule="atLeast"/>
        </w:trPr>
        <w:tc>
          <w:tcPr>
            <w:tcW w:w="834" w:type="dxa"/>
            <w:vMerge w:val="restart"/>
            <w:tcBorders>
              <w:top w:val="single" w:color="231F20" w:sz="4" w:space="0"/>
              <w:right w:val="single" w:color="231F20" w:sz="4" w:space="0"/>
            </w:tcBorders>
            <w:vAlign w:val="center"/>
          </w:tcPr>
          <w:p>
            <w:pPr>
              <w:autoSpaceDE w:val="0"/>
              <w:autoSpaceDN w:val="0"/>
              <w:spacing w:before="1"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结构</w:t>
            </w:r>
          </w:p>
          <w:p>
            <w:pPr>
              <w:autoSpaceDE w:val="0"/>
              <w:autoSpaceDN w:val="0"/>
              <w:spacing w:before="1"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变化</w:t>
            </w:r>
          </w:p>
        </w:tc>
        <w:tc>
          <w:tcPr>
            <w:tcW w:w="1449"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2" w:line="288" w:lineRule="exact"/>
              <w:ind w:firstLine="0" w:firstLineChars="0"/>
              <w:jc w:val="center"/>
              <w:rPr>
                <w:rFonts w:ascii="宋体" w:hAnsi="宋体" w:cs="华光书宋_CNKI"/>
                <w:kern w:val="0"/>
                <w:sz w:val="21"/>
                <w:szCs w:val="21"/>
                <w:lang w:eastAsia="en-US"/>
              </w:rPr>
            </w:pPr>
            <w:r>
              <w:rPr>
                <w:rFonts w:ascii="宋体" w:hAnsi="宋体" w:cs="华光书宋_CNKI"/>
                <w:kern w:val="0"/>
                <w:sz w:val="21"/>
                <w:szCs w:val="21"/>
                <w:lang w:eastAsia="en-US"/>
              </w:rPr>
              <w:t>基础冲刷</w:t>
            </w: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85" w:lineRule="exact"/>
              <w:ind w:right="104" w:firstLine="0" w:firstLineChars="0"/>
              <w:jc w:val="center"/>
              <w:rPr>
                <w:rFonts w:ascii="宋体" w:hAnsi="宋体" w:cs="华光书宋_CNKI"/>
                <w:w w:val="110"/>
                <w:kern w:val="0"/>
                <w:sz w:val="21"/>
                <w:szCs w:val="21"/>
                <w:lang w:eastAsia="en-US"/>
              </w:rPr>
            </w:pPr>
            <w:r>
              <w:rPr>
                <w:rFonts w:ascii="宋体" w:hAnsi="宋体" w:cs="华光书宋_CNKI"/>
                <w:w w:val="110"/>
                <w:kern w:val="0"/>
                <w:sz w:val="21"/>
                <w:szCs w:val="21"/>
                <w:lang w:eastAsia="en-US"/>
              </w:rPr>
              <w:t>基础冲刷深度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4" w:type="dxa"/>
            <w:vMerge w:val="continue"/>
            <w:tcBorders>
              <w:top w:val="nil"/>
              <w:right w:val="single" w:color="231F20" w:sz="4" w:space="0"/>
            </w:tcBorders>
            <w:vAlign w:val="center"/>
          </w:tcPr>
          <w:p>
            <w:pPr>
              <w:autoSpaceDE w:val="0"/>
              <w:autoSpaceDN w:val="0"/>
              <w:ind w:firstLine="420"/>
              <w:rPr>
                <w:rFonts w:ascii="宋体" w:hAnsi="宋体"/>
                <w:kern w:val="0"/>
                <w:sz w:val="21"/>
                <w:szCs w:val="21"/>
                <w:lang w:eastAsia="en-US"/>
              </w:rPr>
            </w:pPr>
          </w:p>
        </w:tc>
        <w:tc>
          <w:tcPr>
            <w:tcW w:w="1449"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88" w:lineRule="exact"/>
              <w:ind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基础</w:t>
            </w:r>
            <w:r>
              <w:rPr>
                <w:rFonts w:ascii="宋体" w:hAnsi="宋体" w:cs="华光书宋_CNKI"/>
                <w:w w:val="105"/>
                <w:kern w:val="0"/>
                <w:sz w:val="21"/>
                <w:szCs w:val="21"/>
                <w:lang w:eastAsia="en-US"/>
              </w:rPr>
              <w:t>沉降</w:t>
            </w: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基础</w:t>
            </w:r>
            <w:r>
              <w:rPr>
                <w:rFonts w:ascii="宋体" w:hAnsi="宋体" w:cs="华光书宋_CNKI"/>
                <w:w w:val="105"/>
                <w:kern w:val="0"/>
                <w:sz w:val="21"/>
                <w:szCs w:val="21"/>
                <w:lang w:eastAsia="en-US"/>
              </w:rPr>
              <w:t>沉降</w:t>
            </w:r>
            <w:r>
              <w:rPr>
                <w:rFonts w:hint="eastAsia" w:ascii="宋体" w:hAnsi="宋体" w:cs="华光书宋_CNKI"/>
                <w:w w:val="105"/>
                <w:kern w:val="0"/>
                <w:sz w:val="21"/>
                <w:szCs w:val="21"/>
                <w:lang w:eastAsia="en-US"/>
              </w:rPr>
              <w:t>量</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4" w:type="dxa"/>
            <w:vMerge w:val="continue"/>
            <w:tcBorders>
              <w:top w:val="nil"/>
              <w:right w:val="single" w:color="231F20" w:sz="4" w:space="0"/>
            </w:tcBorders>
            <w:vAlign w:val="center"/>
          </w:tcPr>
          <w:p>
            <w:pPr>
              <w:autoSpaceDE w:val="0"/>
              <w:autoSpaceDN w:val="0"/>
              <w:ind w:firstLine="420"/>
              <w:rPr>
                <w:rFonts w:ascii="宋体" w:hAnsi="宋体"/>
                <w:kern w:val="0"/>
                <w:sz w:val="21"/>
                <w:szCs w:val="21"/>
                <w:lang w:eastAsia="en-US"/>
              </w:rPr>
            </w:pPr>
          </w:p>
        </w:tc>
        <w:tc>
          <w:tcPr>
            <w:tcW w:w="1449" w:type="dxa"/>
            <w:vMerge w:val="restart"/>
            <w:tcBorders>
              <w:top w:val="single" w:color="231F20" w:sz="4" w:space="0"/>
              <w:left w:val="single" w:color="231F20" w:sz="4" w:space="0"/>
              <w:right w:val="single" w:color="231F20" w:sz="4" w:space="0"/>
            </w:tcBorders>
            <w:vAlign w:val="center"/>
          </w:tcPr>
          <w:p>
            <w:pPr>
              <w:autoSpaceDE w:val="0"/>
              <w:autoSpaceDN w:val="0"/>
              <w:spacing w:before="37" w:line="288" w:lineRule="exact"/>
              <w:ind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线形</w:t>
            </w: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主梁竖向</w:t>
            </w:r>
            <w:r>
              <w:rPr>
                <w:rFonts w:ascii="宋体" w:hAnsi="宋体" w:cs="华光书宋_CNKI"/>
                <w:w w:val="105"/>
                <w:kern w:val="0"/>
                <w:sz w:val="21"/>
                <w:szCs w:val="21"/>
                <w:lang w:eastAsia="en-US"/>
              </w:rPr>
              <w:t>线形</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4" w:type="dxa"/>
            <w:vMerge w:val="continue"/>
            <w:tcBorders>
              <w:top w:val="nil"/>
              <w:right w:val="single" w:color="231F20" w:sz="4" w:space="0"/>
            </w:tcBorders>
            <w:vAlign w:val="center"/>
          </w:tcPr>
          <w:p>
            <w:pPr>
              <w:autoSpaceDE w:val="0"/>
              <w:autoSpaceDN w:val="0"/>
              <w:ind w:firstLine="420"/>
              <w:rPr>
                <w:rFonts w:ascii="宋体" w:hAnsi="宋体"/>
                <w:kern w:val="0"/>
                <w:sz w:val="21"/>
                <w:szCs w:val="21"/>
                <w:lang w:eastAsia="en-US"/>
              </w:rPr>
            </w:pPr>
          </w:p>
        </w:tc>
        <w:tc>
          <w:tcPr>
            <w:tcW w:w="1449" w:type="dxa"/>
            <w:vMerge w:val="continue"/>
            <w:tcBorders>
              <w:left w:val="single" w:color="231F20" w:sz="4" w:space="0"/>
              <w:bottom w:val="single" w:color="231F20" w:sz="4" w:space="0"/>
              <w:right w:val="single" w:color="231F20" w:sz="4" w:space="0"/>
            </w:tcBorders>
            <w:vAlign w:val="center"/>
          </w:tcPr>
          <w:p>
            <w:pPr>
              <w:autoSpaceDE w:val="0"/>
              <w:autoSpaceDN w:val="0"/>
              <w:spacing w:before="37" w:line="288" w:lineRule="exact"/>
              <w:ind w:left="16" w:firstLine="441" w:firstLineChars="0"/>
              <w:jc w:val="center"/>
              <w:rPr>
                <w:rFonts w:ascii="宋体" w:hAnsi="宋体" w:cs="华光书宋_CNKI"/>
                <w:w w:val="105"/>
                <w:kern w:val="0"/>
                <w:sz w:val="21"/>
                <w:szCs w:val="21"/>
                <w:lang w:eastAsia="en-US"/>
              </w:rPr>
            </w:pP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主</w:t>
            </w:r>
            <w:r>
              <w:rPr>
                <w:rFonts w:hint="eastAsia" w:ascii="宋体" w:hAnsi="宋体" w:cs="华光书宋_CNKI"/>
                <w:w w:val="105"/>
                <w:kern w:val="0"/>
                <w:sz w:val="21"/>
                <w:szCs w:val="21"/>
                <w:lang w:eastAsia="en-US"/>
              </w:rPr>
              <w:t>拱竖向</w:t>
            </w:r>
            <w:r>
              <w:rPr>
                <w:rFonts w:ascii="宋体" w:hAnsi="宋体" w:cs="华光书宋_CNKI"/>
                <w:w w:val="105"/>
                <w:kern w:val="0"/>
                <w:sz w:val="21"/>
                <w:szCs w:val="21"/>
                <w:lang w:eastAsia="en-US"/>
              </w:rPr>
              <w:t>线形</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4" w:type="dxa"/>
            <w:vMerge w:val="continue"/>
            <w:tcBorders>
              <w:top w:val="nil"/>
              <w:right w:val="single" w:color="231F20" w:sz="4" w:space="0"/>
            </w:tcBorders>
            <w:vAlign w:val="center"/>
          </w:tcPr>
          <w:p>
            <w:pPr>
              <w:autoSpaceDE w:val="0"/>
              <w:autoSpaceDN w:val="0"/>
              <w:ind w:firstLine="420"/>
              <w:rPr>
                <w:rFonts w:ascii="宋体" w:hAnsi="宋体"/>
                <w:kern w:val="0"/>
                <w:sz w:val="21"/>
                <w:szCs w:val="21"/>
                <w:lang w:eastAsia="en-US"/>
              </w:rPr>
            </w:pPr>
          </w:p>
        </w:tc>
        <w:tc>
          <w:tcPr>
            <w:tcW w:w="1449"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2" w:line="288" w:lineRule="exact"/>
              <w:ind w:firstLine="0" w:firstLineChars="0"/>
              <w:jc w:val="center"/>
              <w:rPr>
                <w:rFonts w:ascii="宋体" w:hAnsi="宋体" w:cs="华光书宋_CNKI"/>
                <w:kern w:val="0"/>
                <w:sz w:val="21"/>
                <w:szCs w:val="21"/>
                <w:lang w:eastAsia="en-US"/>
              </w:rPr>
            </w:pPr>
            <w:r>
              <w:rPr>
                <w:rFonts w:ascii="宋体" w:hAnsi="宋体" w:cs="华光书宋_CNKI"/>
                <w:kern w:val="0"/>
                <w:sz w:val="21"/>
                <w:szCs w:val="21"/>
                <w:lang w:eastAsia="en-US"/>
              </w:rPr>
              <w:t>位移</w:t>
            </w: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85" w:lineRule="exact"/>
              <w:ind w:right="104" w:firstLine="0" w:firstLineChars="0"/>
              <w:jc w:val="center"/>
              <w:rPr>
                <w:rFonts w:ascii="宋体" w:hAnsi="宋体" w:cs="华光书宋_CNKI"/>
                <w:w w:val="110"/>
                <w:kern w:val="0"/>
                <w:sz w:val="21"/>
                <w:szCs w:val="21"/>
                <w:lang w:eastAsia="zh-CN"/>
              </w:rPr>
            </w:pPr>
            <w:r>
              <w:rPr>
                <w:rFonts w:ascii="宋体" w:hAnsi="宋体" w:cs="华光书宋_CNKI"/>
                <w:w w:val="110"/>
                <w:kern w:val="0"/>
                <w:sz w:val="21"/>
                <w:szCs w:val="21"/>
                <w:lang w:eastAsia="zh-CN"/>
              </w:rPr>
              <w:t>拱脚</w:t>
            </w:r>
            <w:r>
              <w:rPr>
                <w:rFonts w:hint="eastAsia" w:ascii="宋体" w:hAnsi="宋体" w:cs="华光书宋_CNKI"/>
                <w:w w:val="110"/>
                <w:kern w:val="0"/>
                <w:sz w:val="21"/>
                <w:szCs w:val="21"/>
                <w:lang w:eastAsia="zh-CN"/>
              </w:rPr>
              <w:t>竖向</w:t>
            </w:r>
            <w:r>
              <w:rPr>
                <w:rFonts w:ascii="宋体" w:hAnsi="宋体" w:cs="华光书宋_CNKI"/>
                <w:w w:val="110"/>
                <w:kern w:val="0"/>
                <w:sz w:val="21"/>
                <w:szCs w:val="21"/>
                <w:lang w:eastAsia="zh-CN"/>
              </w:rPr>
              <w:t>位移</w:t>
            </w:r>
            <w:r>
              <w:rPr>
                <w:rFonts w:hint="eastAsia" w:ascii="宋体" w:hAnsi="宋体" w:cs="华光书宋_CNKI"/>
                <w:w w:val="110"/>
                <w:kern w:val="0"/>
                <w:sz w:val="21"/>
                <w:szCs w:val="21"/>
                <w:lang w:eastAsia="zh-CN"/>
              </w:rPr>
              <w:t>、</w:t>
            </w:r>
            <w:r>
              <w:rPr>
                <w:rFonts w:ascii="宋体" w:hAnsi="宋体" w:cs="华光书宋_CNKI"/>
                <w:w w:val="110"/>
                <w:kern w:val="0"/>
                <w:sz w:val="21"/>
                <w:szCs w:val="21"/>
                <w:lang w:eastAsia="zh-CN"/>
              </w:rPr>
              <w:t>水平位移、</w:t>
            </w:r>
            <w:r>
              <w:rPr>
                <w:rFonts w:hint="eastAsia" w:ascii="宋体" w:hAnsi="宋体" w:cs="华光书宋_CNKI"/>
                <w:w w:val="110"/>
                <w:kern w:val="0"/>
                <w:sz w:val="21"/>
                <w:szCs w:val="21"/>
                <w:lang w:eastAsia="zh-CN"/>
              </w:rPr>
              <w:t>转</w:t>
            </w:r>
            <w:r>
              <w:rPr>
                <w:rFonts w:ascii="宋体" w:hAnsi="宋体" w:cs="华光书宋_CNKI"/>
                <w:w w:val="110"/>
                <w:kern w:val="0"/>
                <w:sz w:val="21"/>
                <w:szCs w:val="21"/>
                <w:lang w:eastAsia="zh-CN"/>
              </w:rPr>
              <w:t>角</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4" w:type="dxa"/>
            <w:vMerge w:val="continue"/>
            <w:tcBorders>
              <w:top w:val="nil"/>
              <w:right w:val="single" w:color="231F20" w:sz="4" w:space="0"/>
            </w:tcBorders>
            <w:vAlign w:val="center"/>
          </w:tcPr>
          <w:p>
            <w:pPr>
              <w:autoSpaceDE w:val="0"/>
              <w:autoSpaceDN w:val="0"/>
              <w:ind w:firstLine="420"/>
              <w:rPr>
                <w:rFonts w:ascii="宋体" w:hAnsi="宋体"/>
                <w:kern w:val="0"/>
                <w:sz w:val="21"/>
                <w:szCs w:val="21"/>
                <w:lang w:eastAsia="en-US"/>
              </w:rPr>
            </w:pPr>
          </w:p>
        </w:tc>
        <w:tc>
          <w:tcPr>
            <w:tcW w:w="1449"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88" w:lineRule="exact"/>
              <w:ind w:left="16"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伸缩缝变位</w:t>
            </w: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伸缩缝宽度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4" w:type="dxa"/>
            <w:vMerge w:val="continue"/>
            <w:tcBorders>
              <w:top w:val="nil"/>
              <w:right w:val="single" w:color="231F20" w:sz="4" w:space="0"/>
            </w:tcBorders>
            <w:vAlign w:val="center"/>
          </w:tcPr>
          <w:p>
            <w:pPr>
              <w:autoSpaceDE w:val="0"/>
              <w:autoSpaceDN w:val="0"/>
              <w:ind w:firstLine="420"/>
              <w:rPr>
                <w:rFonts w:ascii="宋体" w:hAnsi="宋体"/>
                <w:kern w:val="0"/>
                <w:sz w:val="21"/>
                <w:szCs w:val="21"/>
                <w:lang w:eastAsia="en-US"/>
              </w:rPr>
            </w:pPr>
          </w:p>
        </w:tc>
        <w:tc>
          <w:tcPr>
            <w:tcW w:w="1449" w:type="dxa"/>
            <w:vMerge w:val="restart"/>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2" w:line="288" w:lineRule="exact"/>
              <w:ind w:firstLine="0" w:firstLineChars="0"/>
              <w:jc w:val="center"/>
              <w:rPr>
                <w:rFonts w:ascii="宋体" w:hAnsi="宋体" w:cs="华光书宋_CNKI"/>
                <w:kern w:val="0"/>
                <w:sz w:val="21"/>
                <w:szCs w:val="21"/>
                <w:lang w:eastAsia="en-US"/>
              </w:rPr>
            </w:pPr>
            <w:r>
              <w:rPr>
                <w:rFonts w:ascii="宋体" w:hAnsi="宋体" w:cs="华光书宋_CNKI"/>
                <w:kern w:val="0"/>
                <w:sz w:val="21"/>
                <w:szCs w:val="21"/>
                <w:lang w:eastAsia="en-US"/>
              </w:rPr>
              <w:t>裂缝</w:t>
            </w: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85" w:lineRule="exact"/>
              <w:ind w:right="104" w:firstLine="0" w:firstLineChars="0"/>
              <w:jc w:val="center"/>
              <w:rPr>
                <w:rFonts w:ascii="宋体" w:hAnsi="宋体" w:cs="华光书宋_CNKI"/>
                <w:w w:val="110"/>
                <w:kern w:val="0"/>
                <w:sz w:val="21"/>
                <w:szCs w:val="21"/>
                <w:lang w:eastAsia="zh-CN"/>
              </w:rPr>
            </w:pPr>
            <w:r>
              <w:rPr>
                <w:rFonts w:ascii="宋体" w:hAnsi="宋体" w:cs="华光书宋_CNKI"/>
                <w:w w:val="110"/>
                <w:kern w:val="0"/>
                <w:sz w:val="21"/>
                <w:szCs w:val="21"/>
                <w:lang w:eastAsia="zh-CN"/>
              </w:rPr>
              <w:t>混凝土结构</w:t>
            </w:r>
            <w:r>
              <w:rPr>
                <w:rFonts w:hint="eastAsia" w:ascii="宋体" w:hAnsi="宋体" w:cs="华光书宋_CNKI"/>
                <w:w w:val="105"/>
                <w:kern w:val="0"/>
                <w:sz w:val="21"/>
                <w:szCs w:val="21"/>
                <w:lang w:eastAsia="zh-CN"/>
              </w:rPr>
              <w:t>结构性</w:t>
            </w:r>
            <w:r>
              <w:rPr>
                <w:rFonts w:ascii="宋体" w:hAnsi="宋体" w:cs="华光书宋_CNKI"/>
                <w:w w:val="110"/>
                <w:kern w:val="0"/>
                <w:sz w:val="21"/>
                <w:szCs w:val="21"/>
                <w:lang w:eastAsia="zh-CN"/>
              </w:rPr>
              <w:t>裂缝</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4" w:type="dxa"/>
            <w:vMerge w:val="continue"/>
            <w:tcBorders>
              <w:top w:val="nil"/>
              <w:right w:val="single" w:color="231F20" w:sz="4" w:space="0"/>
            </w:tcBorders>
            <w:vAlign w:val="center"/>
          </w:tcPr>
          <w:p>
            <w:pPr>
              <w:autoSpaceDE w:val="0"/>
              <w:autoSpaceDN w:val="0"/>
              <w:ind w:firstLine="420"/>
              <w:rPr>
                <w:rFonts w:ascii="宋体" w:hAnsi="宋体"/>
                <w:kern w:val="0"/>
                <w:sz w:val="21"/>
                <w:szCs w:val="21"/>
                <w:lang w:eastAsia="en-US"/>
              </w:rPr>
            </w:pPr>
          </w:p>
        </w:tc>
        <w:tc>
          <w:tcPr>
            <w:tcW w:w="1449" w:type="dxa"/>
            <w:vMerge w:val="continue"/>
            <w:tcBorders>
              <w:top w:val="nil"/>
              <w:left w:val="single" w:color="231F20" w:sz="4" w:space="0"/>
              <w:bottom w:val="single" w:color="231F20" w:sz="4" w:space="0"/>
              <w:right w:val="single" w:color="231F20" w:sz="4" w:space="0"/>
            </w:tcBorders>
            <w:vAlign w:val="center"/>
          </w:tcPr>
          <w:p>
            <w:pPr>
              <w:autoSpaceDE w:val="0"/>
              <w:autoSpaceDN w:val="0"/>
              <w:spacing w:before="32" w:line="288" w:lineRule="exact"/>
              <w:ind w:left="16" w:firstLine="420" w:firstLineChars="0"/>
              <w:jc w:val="center"/>
              <w:rPr>
                <w:rFonts w:ascii="宋体" w:hAnsi="宋体" w:cs="华光书宋_CNKI"/>
                <w:kern w:val="0"/>
                <w:sz w:val="21"/>
                <w:szCs w:val="21"/>
                <w:lang w:eastAsia="en-US"/>
              </w:rPr>
            </w:pP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85" w:lineRule="exact"/>
              <w:ind w:right="104" w:firstLine="0" w:firstLineChars="0"/>
              <w:jc w:val="center"/>
              <w:rPr>
                <w:rFonts w:ascii="宋体" w:hAnsi="宋体" w:cs="华光书宋_CNKI"/>
                <w:w w:val="110"/>
                <w:kern w:val="0"/>
                <w:sz w:val="21"/>
                <w:szCs w:val="21"/>
                <w:lang w:eastAsia="en-US"/>
              </w:rPr>
            </w:pPr>
            <w:r>
              <w:rPr>
                <w:rFonts w:ascii="宋体" w:hAnsi="宋体" w:cs="华光书宋_CNKI"/>
                <w:w w:val="110"/>
                <w:kern w:val="0"/>
                <w:sz w:val="21"/>
                <w:szCs w:val="21"/>
                <w:lang w:eastAsia="en-US"/>
              </w:rPr>
              <w:t>钢结构</w:t>
            </w:r>
            <w:r>
              <w:rPr>
                <w:rFonts w:hint="eastAsia" w:ascii="宋体" w:hAnsi="宋体" w:cs="华光书宋_CNKI"/>
                <w:w w:val="105"/>
                <w:kern w:val="0"/>
                <w:sz w:val="21"/>
                <w:szCs w:val="21"/>
                <w:lang w:eastAsia="en-US"/>
              </w:rPr>
              <w:t>结构性</w:t>
            </w:r>
            <w:r>
              <w:rPr>
                <w:rFonts w:ascii="宋体" w:hAnsi="宋体" w:cs="华光书宋_CNKI"/>
                <w:w w:val="110"/>
                <w:kern w:val="0"/>
                <w:sz w:val="21"/>
                <w:szCs w:val="21"/>
                <w:lang w:eastAsia="en-US"/>
              </w:rPr>
              <w:t>裂缝</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4" w:type="dxa"/>
            <w:vMerge w:val="continue"/>
            <w:tcBorders>
              <w:top w:val="nil"/>
              <w:right w:val="single" w:color="231F20" w:sz="4" w:space="0"/>
            </w:tcBorders>
            <w:vAlign w:val="center"/>
          </w:tcPr>
          <w:p>
            <w:pPr>
              <w:autoSpaceDE w:val="0"/>
              <w:autoSpaceDN w:val="0"/>
              <w:ind w:firstLine="420"/>
              <w:rPr>
                <w:rFonts w:ascii="宋体" w:hAnsi="宋体"/>
                <w:kern w:val="0"/>
                <w:sz w:val="21"/>
                <w:szCs w:val="21"/>
                <w:lang w:eastAsia="en-US"/>
              </w:rPr>
            </w:pPr>
          </w:p>
        </w:tc>
        <w:tc>
          <w:tcPr>
            <w:tcW w:w="1449" w:type="dxa"/>
            <w:vMerge w:val="restart"/>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2" w:line="288" w:lineRule="exact"/>
              <w:ind w:firstLine="0" w:firstLineChars="0"/>
              <w:jc w:val="center"/>
              <w:rPr>
                <w:rFonts w:ascii="宋体" w:hAnsi="宋体" w:cs="华光书宋_CNKI"/>
                <w:kern w:val="0"/>
                <w:sz w:val="21"/>
                <w:szCs w:val="21"/>
                <w:lang w:eastAsia="en-US"/>
              </w:rPr>
            </w:pPr>
            <w:r>
              <w:rPr>
                <w:rFonts w:ascii="宋体" w:hAnsi="宋体" w:cs="华光书宋_CNKI"/>
                <w:kern w:val="0"/>
                <w:sz w:val="21"/>
                <w:szCs w:val="21"/>
                <w:lang w:eastAsia="en-US"/>
              </w:rPr>
              <w:t>腐蚀</w:t>
            </w: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85" w:lineRule="exact"/>
              <w:ind w:right="104" w:firstLine="0" w:firstLineChars="0"/>
              <w:jc w:val="center"/>
              <w:rPr>
                <w:rFonts w:ascii="宋体" w:hAnsi="宋体" w:cs="华光书宋_CNKI"/>
                <w:w w:val="110"/>
                <w:kern w:val="0"/>
                <w:sz w:val="21"/>
                <w:szCs w:val="21"/>
                <w:lang w:eastAsia="zh-CN"/>
              </w:rPr>
            </w:pPr>
            <w:r>
              <w:rPr>
                <w:rFonts w:ascii="宋体" w:hAnsi="宋体" w:cs="华光书宋_CNKI"/>
                <w:w w:val="110"/>
                <w:kern w:val="0"/>
                <w:sz w:val="21"/>
                <w:szCs w:val="21"/>
                <w:lang w:eastAsia="zh-CN"/>
              </w:rPr>
              <w:t>墩身</w:t>
            </w:r>
            <w:r>
              <w:rPr>
                <w:rFonts w:hint="eastAsia" w:ascii="宋体" w:hAnsi="宋体" w:cs="华光书宋_CNKI"/>
                <w:w w:val="110"/>
                <w:kern w:val="0"/>
                <w:sz w:val="21"/>
                <w:szCs w:val="21"/>
                <w:lang w:eastAsia="zh-CN"/>
              </w:rPr>
              <w:t>、</w:t>
            </w:r>
            <w:r>
              <w:rPr>
                <w:rFonts w:ascii="宋体" w:hAnsi="宋体" w:cs="华光书宋_CNKI"/>
                <w:w w:val="110"/>
                <w:kern w:val="0"/>
                <w:sz w:val="21"/>
                <w:szCs w:val="21"/>
                <w:lang w:eastAsia="zh-CN"/>
              </w:rPr>
              <w:t>承台混凝土氯离子浓度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4" w:type="dxa"/>
            <w:vMerge w:val="continue"/>
            <w:tcBorders>
              <w:top w:val="nil"/>
              <w:right w:val="single" w:color="231F20" w:sz="4" w:space="0"/>
            </w:tcBorders>
            <w:vAlign w:val="center"/>
          </w:tcPr>
          <w:p>
            <w:pPr>
              <w:autoSpaceDE w:val="0"/>
              <w:autoSpaceDN w:val="0"/>
              <w:ind w:firstLine="420"/>
              <w:rPr>
                <w:rFonts w:ascii="宋体" w:hAnsi="宋体"/>
                <w:kern w:val="0"/>
                <w:sz w:val="21"/>
                <w:szCs w:val="21"/>
                <w:lang w:eastAsia="en-US"/>
              </w:rPr>
            </w:pPr>
          </w:p>
        </w:tc>
        <w:tc>
          <w:tcPr>
            <w:tcW w:w="1449" w:type="dxa"/>
            <w:vMerge w:val="continue"/>
            <w:tcBorders>
              <w:top w:val="nil"/>
              <w:left w:val="single" w:color="231F20" w:sz="4" w:space="0"/>
              <w:bottom w:val="single" w:color="231F20" w:sz="4" w:space="0"/>
              <w:right w:val="single" w:color="231F20" w:sz="4" w:space="0"/>
            </w:tcBorders>
            <w:vAlign w:val="center"/>
          </w:tcPr>
          <w:p>
            <w:pPr>
              <w:autoSpaceDE w:val="0"/>
              <w:autoSpaceDN w:val="0"/>
              <w:spacing w:before="32" w:line="288" w:lineRule="exact"/>
              <w:ind w:left="16" w:firstLine="420" w:firstLineChars="0"/>
              <w:jc w:val="center"/>
              <w:rPr>
                <w:rFonts w:ascii="宋体" w:hAnsi="宋体" w:cs="华光书宋_CNKI"/>
                <w:kern w:val="0"/>
                <w:sz w:val="21"/>
                <w:szCs w:val="21"/>
                <w:lang w:eastAsia="en-US"/>
              </w:rPr>
            </w:pP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85" w:lineRule="exact"/>
              <w:ind w:right="104" w:firstLine="0" w:firstLineChars="0"/>
              <w:jc w:val="center"/>
              <w:rPr>
                <w:rFonts w:ascii="宋体" w:hAnsi="宋体" w:cs="华光书宋_CNKI"/>
                <w:w w:val="110"/>
                <w:kern w:val="0"/>
                <w:sz w:val="21"/>
                <w:szCs w:val="21"/>
                <w:lang w:eastAsia="zh-CN"/>
              </w:rPr>
            </w:pPr>
            <w:r>
              <w:rPr>
                <w:rFonts w:ascii="宋体" w:hAnsi="宋体" w:cs="华光书宋_CNKI"/>
                <w:w w:val="110"/>
                <w:kern w:val="0"/>
                <w:sz w:val="21"/>
                <w:szCs w:val="21"/>
                <w:lang w:eastAsia="zh-CN"/>
              </w:rPr>
              <w:t>墩身</w:t>
            </w:r>
            <w:r>
              <w:rPr>
                <w:rFonts w:hint="eastAsia" w:ascii="宋体" w:hAnsi="宋体" w:cs="华光书宋_CNKI"/>
                <w:w w:val="110"/>
                <w:kern w:val="0"/>
                <w:sz w:val="21"/>
                <w:szCs w:val="21"/>
                <w:lang w:eastAsia="zh-CN"/>
              </w:rPr>
              <w:t>、</w:t>
            </w:r>
            <w:r>
              <w:rPr>
                <w:rFonts w:ascii="宋体" w:hAnsi="宋体" w:cs="华光书宋_CNKI"/>
                <w:w w:val="110"/>
                <w:kern w:val="0"/>
                <w:sz w:val="21"/>
                <w:szCs w:val="21"/>
                <w:lang w:eastAsia="zh-CN"/>
              </w:rPr>
              <w:t>承台混凝土氯离子侵蚀深度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4" w:type="dxa"/>
            <w:vMerge w:val="continue"/>
            <w:tcBorders>
              <w:top w:val="nil"/>
              <w:right w:val="single" w:color="231F20" w:sz="4" w:space="0"/>
            </w:tcBorders>
            <w:vAlign w:val="center"/>
          </w:tcPr>
          <w:p>
            <w:pPr>
              <w:autoSpaceDE w:val="0"/>
              <w:autoSpaceDN w:val="0"/>
              <w:ind w:firstLine="420"/>
              <w:rPr>
                <w:rFonts w:ascii="宋体" w:hAnsi="宋体"/>
                <w:kern w:val="0"/>
                <w:sz w:val="21"/>
                <w:szCs w:val="21"/>
                <w:lang w:eastAsia="en-US"/>
              </w:rPr>
            </w:pPr>
          </w:p>
        </w:tc>
        <w:tc>
          <w:tcPr>
            <w:tcW w:w="1449"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2" w:line="288" w:lineRule="exact"/>
              <w:ind w:firstLine="0" w:firstLineChars="0"/>
              <w:jc w:val="center"/>
              <w:rPr>
                <w:rFonts w:ascii="宋体" w:hAnsi="宋体" w:cs="华光书宋_CNKI"/>
                <w:kern w:val="0"/>
                <w:sz w:val="21"/>
                <w:szCs w:val="21"/>
                <w:lang w:eastAsia="en-US"/>
              </w:rPr>
            </w:pPr>
            <w:r>
              <w:rPr>
                <w:rFonts w:ascii="宋体" w:hAnsi="宋体" w:cs="华光书宋_CNKI"/>
                <w:kern w:val="0"/>
                <w:sz w:val="21"/>
                <w:szCs w:val="21"/>
                <w:lang w:eastAsia="en-US"/>
              </w:rPr>
              <w:t>断丝</w:t>
            </w:r>
          </w:p>
        </w:tc>
        <w:tc>
          <w:tcPr>
            <w:tcW w:w="4452"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85" w:lineRule="exact"/>
              <w:ind w:right="104" w:firstLine="0" w:firstLineChars="0"/>
              <w:jc w:val="center"/>
              <w:rPr>
                <w:rFonts w:ascii="宋体" w:hAnsi="宋体" w:cs="华光书宋_CNKI"/>
                <w:w w:val="110"/>
                <w:kern w:val="0"/>
                <w:sz w:val="21"/>
                <w:szCs w:val="21"/>
                <w:lang w:eastAsia="zh-CN"/>
              </w:rPr>
            </w:pPr>
            <w:r>
              <w:rPr>
                <w:rFonts w:ascii="宋体" w:hAnsi="宋体" w:cs="华光书宋_CNKI"/>
                <w:w w:val="110"/>
                <w:kern w:val="0"/>
                <w:sz w:val="21"/>
                <w:szCs w:val="21"/>
                <w:lang w:eastAsia="zh-CN"/>
              </w:rPr>
              <w:t>吊杆</w:t>
            </w:r>
            <w:r>
              <w:rPr>
                <w:rFonts w:hint="eastAsia" w:ascii="宋体" w:hAnsi="宋体" w:cs="华光书宋_CNKI"/>
                <w:w w:val="110"/>
                <w:kern w:val="0"/>
                <w:sz w:val="21"/>
                <w:szCs w:val="21"/>
                <w:lang w:eastAsia="zh-CN"/>
              </w:rPr>
              <w:t>（</w:t>
            </w:r>
            <w:r>
              <w:rPr>
                <w:rFonts w:ascii="宋体" w:hAnsi="宋体" w:cs="华光书宋_CNKI"/>
                <w:w w:val="110"/>
                <w:kern w:val="0"/>
                <w:sz w:val="21"/>
                <w:szCs w:val="21"/>
                <w:lang w:eastAsia="zh-CN"/>
              </w:rPr>
              <w:t>索</w:t>
            </w:r>
            <w:r>
              <w:rPr>
                <w:rFonts w:hint="eastAsia" w:ascii="宋体" w:hAnsi="宋体" w:cs="华光书宋_CNKI"/>
                <w:w w:val="110"/>
                <w:kern w:val="0"/>
                <w:sz w:val="21"/>
                <w:szCs w:val="21"/>
                <w:lang w:eastAsia="zh-CN"/>
              </w:rPr>
              <w:t>）</w:t>
            </w:r>
            <w:r>
              <w:rPr>
                <w:rFonts w:ascii="宋体" w:hAnsi="宋体" w:cs="华光书宋_CNKI"/>
                <w:w w:val="110"/>
                <w:kern w:val="0"/>
                <w:sz w:val="21"/>
                <w:szCs w:val="21"/>
                <w:lang w:eastAsia="zh-CN"/>
              </w:rPr>
              <w:t>或系杆断丝</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4" w:type="dxa"/>
            <w:vMerge w:val="continue"/>
            <w:tcBorders>
              <w:top w:val="nil"/>
              <w:right w:val="single" w:color="231F20" w:sz="4" w:space="0"/>
            </w:tcBorders>
            <w:vAlign w:val="center"/>
          </w:tcPr>
          <w:p>
            <w:pPr>
              <w:autoSpaceDE w:val="0"/>
              <w:autoSpaceDN w:val="0"/>
              <w:ind w:firstLine="420"/>
              <w:rPr>
                <w:rFonts w:ascii="宋体" w:hAnsi="宋体"/>
                <w:kern w:val="0"/>
                <w:sz w:val="21"/>
                <w:szCs w:val="21"/>
                <w:lang w:eastAsia="en-US"/>
              </w:rPr>
            </w:pPr>
          </w:p>
        </w:tc>
        <w:tc>
          <w:tcPr>
            <w:tcW w:w="1449" w:type="dxa"/>
            <w:tcBorders>
              <w:top w:val="single" w:color="231F20" w:sz="4" w:space="0"/>
              <w:left w:val="single" w:color="231F20" w:sz="4" w:space="0"/>
              <w:right w:val="single" w:color="231F20" w:sz="4" w:space="0"/>
            </w:tcBorders>
            <w:vAlign w:val="center"/>
          </w:tcPr>
          <w:p>
            <w:pPr>
              <w:autoSpaceDE w:val="0"/>
              <w:autoSpaceDN w:val="0"/>
              <w:spacing w:before="32" w:line="288" w:lineRule="exact"/>
              <w:ind w:firstLine="0" w:firstLineChars="0"/>
              <w:jc w:val="center"/>
              <w:rPr>
                <w:rFonts w:ascii="宋体" w:hAnsi="宋体" w:cs="华光书宋_CNKI"/>
                <w:kern w:val="0"/>
                <w:sz w:val="21"/>
                <w:szCs w:val="21"/>
                <w:lang w:eastAsia="en-US"/>
              </w:rPr>
            </w:pPr>
            <w:r>
              <w:rPr>
                <w:rFonts w:ascii="宋体" w:hAnsi="宋体" w:cs="华光书宋_CNKI"/>
                <w:kern w:val="0"/>
                <w:sz w:val="21"/>
                <w:szCs w:val="21"/>
                <w:lang w:eastAsia="en-US"/>
              </w:rPr>
              <w:t>螺栓状态</w:t>
            </w:r>
          </w:p>
        </w:tc>
        <w:tc>
          <w:tcPr>
            <w:tcW w:w="4452" w:type="dxa"/>
            <w:tcBorders>
              <w:top w:val="single" w:color="231F20" w:sz="4" w:space="0"/>
              <w:left w:val="single" w:color="231F20" w:sz="4" w:space="0"/>
              <w:right w:val="single" w:color="231F20" w:sz="4" w:space="0"/>
            </w:tcBorders>
            <w:vAlign w:val="center"/>
          </w:tcPr>
          <w:p>
            <w:pPr>
              <w:autoSpaceDE w:val="0"/>
              <w:autoSpaceDN w:val="0"/>
              <w:spacing w:line="285" w:lineRule="exact"/>
              <w:ind w:right="104" w:firstLine="0" w:firstLineChars="0"/>
              <w:jc w:val="center"/>
              <w:rPr>
                <w:rFonts w:ascii="宋体" w:hAnsi="宋体" w:cs="华光书宋_CNKI"/>
                <w:w w:val="110"/>
                <w:kern w:val="0"/>
                <w:sz w:val="21"/>
                <w:szCs w:val="21"/>
                <w:lang w:eastAsia="zh-CN"/>
              </w:rPr>
            </w:pPr>
            <w:r>
              <w:rPr>
                <w:rFonts w:ascii="宋体" w:hAnsi="宋体" w:cs="华光书宋_CNKI"/>
                <w:w w:val="110"/>
                <w:kern w:val="0"/>
                <w:sz w:val="21"/>
                <w:szCs w:val="21"/>
                <w:lang w:eastAsia="zh-CN"/>
              </w:rPr>
              <w:t>高强螺栓紧固力</w:t>
            </w:r>
            <w:r>
              <w:rPr>
                <w:rFonts w:hint="eastAsia" w:ascii="宋体" w:hAnsi="宋体" w:cs="华光书宋_CNKI"/>
                <w:w w:val="110"/>
                <w:kern w:val="0"/>
                <w:sz w:val="21"/>
                <w:szCs w:val="21"/>
                <w:lang w:eastAsia="zh-CN"/>
              </w:rPr>
              <w:t>、</w:t>
            </w:r>
            <w:r>
              <w:rPr>
                <w:rFonts w:ascii="宋体" w:hAnsi="宋体" w:cs="华光书宋_CNKI"/>
                <w:w w:val="110"/>
                <w:kern w:val="0"/>
                <w:sz w:val="21"/>
                <w:szCs w:val="21"/>
                <w:lang w:eastAsia="zh-CN"/>
              </w:rPr>
              <w:t>螺栓滑脱</w:t>
            </w:r>
          </w:p>
        </w:tc>
        <w:tc>
          <w:tcPr>
            <w:tcW w:w="1571" w:type="dxa"/>
            <w:tcBorders>
              <w:top w:val="single" w:color="231F20" w:sz="4" w:space="0"/>
              <w:lef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06" w:type="dxa"/>
            <w:gridSpan w:val="4"/>
            <w:vAlign w:val="center"/>
          </w:tcPr>
          <w:p>
            <w:pPr>
              <w:autoSpaceDE w:val="0"/>
              <w:autoSpaceDN w:val="0"/>
              <w:spacing w:before="32" w:line="288" w:lineRule="exact"/>
              <w:ind w:right="104" w:firstLine="0" w:firstLineChars="0"/>
              <w:jc w:val="left"/>
              <w:rPr>
                <w:rFonts w:ascii="宋体" w:hAnsi="宋体" w:cs="华光书宋_CNKI"/>
                <w:w w:val="105"/>
                <w:kern w:val="0"/>
                <w:sz w:val="21"/>
                <w:szCs w:val="21"/>
                <w:lang w:eastAsia="zh-CN"/>
              </w:rPr>
            </w:pPr>
            <w:r>
              <w:rPr>
                <w:rFonts w:hint="eastAsia" w:ascii="宋体" w:hAnsi="宋体" w:cs="华光书宋_CNKI"/>
                <w:w w:val="105"/>
                <w:kern w:val="0"/>
                <w:sz w:val="21"/>
                <w:szCs w:val="21"/>
                <w:lang w:eastAsia="zh-CN"/>
              </w:rPr>
              <w:t>注</w:t>
            </w:r>
            <w:r>
              <w:rPr>
                <w:rFonts w:ascii="宋体" w:hAnsi="宋体" w:cs="华光书宋_CNKI"/>
                <w:w w:val="105"/>
                <w:kern w:val="0"/>
                <w:sz w:val="21"/>
                <w:szCs w:val="21"/>
                <w:lang w:eastAsia="zh-CN"/>
              </w:rPr>
              <w:t>：</w:t>
            </w:r>
            <w:r>
              <w:rPr>
                <w:rFonts w:hint="eastAsia" w:ascii="宋体" w:hAnsi="宋体" w:cs="华光书宋_CNKI"/>
                <w:w w:val="105"/>
                <w:kern w:val="0"/>
                <w:sz w:val="21"/>
                <w:szCs w:val="21"/>
                <w:lang w:eastAsia="zh-CN"/>
              </w:rPr>
              <w:t>1 ●</w:t>
            </w:r>
            <w:r>
              <w:rPr>
                <w:rFonts w:ascii="宋体" w:hAnsi="宋体" w:cs="华光书宋_CNKI"/>
                <w:w w:val="105"/>
                <w:kern w:val="0"/>
                <w:sz w:val="21"/>
                <w:szCs w:val="21"/>
                <w:lang w:eastAsia="zh-CN"/>
              </w:rPr>
              <w:t>为应选监测项</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为宜选监测项</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为可选监测项</w:t>
            </w:r>
            <w:r>
              <w:rPr>
                <w:rFonts w:hint="eastAsia" w:ascii="宋体" w:hAnsi="宋体" w:cs="华光书宋_CNKI"/>
                <w:w w:val="105"/>
                <w:kern w:val="0"/>
                <w:sz w:val="21"/>
                <w:szCs w:val="21"/>
                <w:lang w:eastAsia="zh-CN"/>
              </w:rPr>
              <w:t>；</w:t>
            </w:r>
          </w:p>
          <w:p>
            <w:pPr>
              <w:autoSpaceDE w:val="0"/>
              <w:autoSpaceDN w:val="0"/>
              <w:spacing w:before="24" w:line="297" w:lineRule="exact"/>
              <w:ind w:firstLine="440"/>
              <w:jc w:val="left"/>
              <w:rPr>
                <w:rFonts w:ascii="宋体" w:hAnsi="宋体" w:cs="华光书宋_CNKI"/>
                <w:kern w:val="0"/>
                <w:sz w:val="21"/>
                <w:szCs w:val="21"/>
                <w:lang w:eastAsia="zh-CN"/>
              </w:rPr>
            </w:pPr>
            <w:r>
              <w:rPr>
                <w:rFonts w:ascii="宋体" w:hAnsi="宋体" w:cs="华光书宋_CNKI"/>
                <w:w w:val="105"/>
                <w:kern w:val="0"/>
                <w:sz w:val="21"/>
                <w:szCs w:val="21"/>
                <w:lang w:eastAsia="zh-CN"/>
              </w:rPr>
              <w:t>2</w:t>
            </w:r>
            <w:r>
              <w:rPr>
                <w:rFonts w:hint="eastAsia" w:ascii="宋体" w:hAnsi="宋体" w:cs="华光书宋_CNKI"/>
                <w:w w:val="105"/>
                <w:kern w:val="0"/>
                <w:sz w:val="21"/>
                <w:szCs w:val="21"/>
                <w:lang w:eastAsia="zh-CN"/>
              </w:rPr>
              <w:t xml:space="preserve"> </w:t>
            </w:r>
            <w:r>
              <w:rPr>
                <w:rFonts w:ascii="宋体" w:hAnsi="宋体" w:cs="华光书宋_CNKI"/>
                <w:w w:val="105"/>
                <w:kern w:val="0"/>
                <w:sz w:val="21"/>
                <w:szCs w:val="21"/>
                <w:lang w:eastAsia="zh-CN"/>
              </w:rPr>
              <w:t>a</w:t>
            </w:r>
            <w:r>
              <w:rPr>
                <w:rFonts w:hint="eastAsia" w:ascii="宋体" w:hAnsi="宋体" w:cs="华光书宋_CNKI"/>
                <w:w w:val="105"/>
                <w:kern w:val="0"/>
                <w:sz w:val="21"/>
                <w:szCs w:val="21"/>
                <w:lang w:eastAsia="zh-CN"/>
              </w:rPr>
              <w:t>表示适用于</w:t>
            </w:r>
            <w:r>
              <w:rPr>
                <w:rFonts w:ascii="宋体" w:hAnsi="宋体" w:cs="华光书宋_CNKI"/>
                <w:w w:val="105"/>
                <w:kern w:val="0"/>
                <w:sz w:val="21"/>
                <w:szCs w:val="21"/>
                <w:lang w:eastAsia="zh-CN"/>
              </w:rPr>
              <w:t>有通行</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作业管控需求</w:t>
            </w:r>
            <w:r>
              <w:rPr>
                <w:rFonts w:hint="eastAsia" w:ascii="宋体" w:hAnsi="宋体" w:cs="华光书宋_CNKI"/>
                <w:w w:val="105"/>
                <w:kern w:val="0"/>
                <w:sz w:val="21"/>
                <w:szCs w:val="21"/>
                <w:lang w:eastAsia="zh-CN"/>
              </w:rPr>
              <w:t>的</w:t>
            </w:r>
            <w:r>
              <w:rPr>
                <w:rFonts w:ascii="宋体" w:hAnsi="宋体" w:cs="华光书宋_CNKI"/>
                <w:w w:val="105"/>
                <w:kern w:val="0"/>
                <w:sz w:val="21"/>
                <w:szCs w:val="21"/>
                <w:lang w:eastAsia="zh-CN"/>
              </w:rPr>
              <w:t>桥梁</w:t>
            </w:r>
            <w:r>
              <w:rPr>
                <w:rFonts w:hint="eastAsia" w:ascii="宋体" w:hAnsi="宋体" w:cs="华光书宋_CNKI"/>
                <w:w w:val="105"/>
                <w:kern w:val="0"/>
                <w:sz w:val="21"/>
                <w:szCs w:val="21"/>
                <w:lang w:eastAsia="zh-CN"/>
              </w:rPr>
              <w:t>。</w:t>
            </w:r>
          </w:p>
        </w:tc>
      </w:tr>
    </w:tbl>
    <w:p>
      <w:pPr>
        <w:ind w:firstLine="480"/>
      </w:pPr>
    </w:p>
    <w:p>
      <w:pPr>
        <w:pStyle w:val="4"/>
      </w:pPr>
      <w:r>
        <w:rPr>
          <w:rFonts w:hint="eastAsia"/>
        </w:rPr>
        <w:t>特大</w:t>
      </w:r>
      <w:r>
        <w:t>跨径</w:t>
      </w:r>
      <w:r>
        <w:rPr>
          <w:rFonts w:hint="eastAsia"/>
        </w:rPr>
        <w:t>斜拉桥</w:t>
      </w:r>
      <w:r>
        <w:t>监测内容</w:t>
      </w:r>
      <w:r>
        <w:rPr>
          <w:rFonts w:hint="eastAsia"/>
        </w:rPr>
        <w:t>宜按表4.</w:t>
      </w:r>
      <w:r>
        <w:t>2.6选择相应监测内容</w:t>
      </w:r>
      <w:r>
        <w:rPr>
          <w:rFonts w:hint="eastAsia"/>
        </w:rPr>
        <w:t>。</w:t>
      </w:r>
    </w:p>
    <w:tbl>
      <w:tblPr>
        <w:tblStyle w:val="43"/>
        <w:tblW w:w="8306" w:type="dxa"/>
        <w:tblInd w:w="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835"/>
        <w:gridCol w:w="1666"/>
        <w:gridCol w:w="4234"/>
        <w:gridCol w:w="1571"/>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blHeader/>
        </w:trPr>
        <w:tc>
          <w:tcPr>
            <w:tcW w:w="8306" w:type="dxa"/>
            <w:gridSpan w:val="4"/>
            <w:tcBorders>
              <w:top w:val="nil"/>
              <w:left w:val="nil"/>
              <w:bottom w:val="single" w:color="auto" w:sz="4" w:space="0"/>
              <w:right w:val="nil"/>
            </w:tcBorders>
            <w:vAlign w:val="center"/>
          </w:tcPr>
          <w:p>
            <w:pPr>
              <w:pStyle w:val="38"/>
              <w:widowControl w:val="0"/>
              <w:autoSpaceDE w:val="0"/>
              <w:autoSpaceDN w:val="0"/>
              <w:rPr>
                <w:b/>
                <w:lang w:eastAsia="en-US"/>
              </w:rPr>
            </w:pPr>
            <w:r>
              <w:rPr>
                <w:rFonts w:hint="eastAsia"/>
                <w:lang w:eastAsia="en-US"/>
              </w:rPr>
              <w:t xml:space="preserve">表 </w:t>
            </w:r>
            <w:r>
              <w:rPr>
                <w:lang w:eastAsia="en-US"/>
              </w:rPr>
              <w:fldChar w:fldCharType="begin"/>
            </w:r>
            <w:r>
              <w:rPr>
                <w:lang w:eastAsia="en-US"/>
              </w:rPr>
              <w:instrText xml:space="preserve"> </w:instrText>
            </w:r>
            <w:r>
              <w:rPr>
                <w:rFonts w:hint="eastAsia"/>
                <w:lang w:eastAsia="en-US"/>
              </w:rPr>
              <w:instrText xml:space="preserve">STYLEREF 3 \s</w:instrText>
            </w:r>
            <w:r>
              <w:rPr>
                <w:lang w:eastAsia="en-US"/>
              </w:rPr>
              <w:instrText xml:space="preserve"> </w:instrText>
            </w:r>
            <w:r>
              <w:rPr>
                <w:lang w:eastAsia="en-US"/>
              </w:rPr>
              <w:fldChar w:fldCharType="separate"/>
            </w:r>
            <w:r>
              <w:rPr>
                <w:lang w:eastAsia="en-US"/>
              </w:rPr>
              <w:t>4.2.6</w:t>
            </w:r>
            <w:r>
              <w:rPr>
                <w:lang w:eastAsia="en-US"/>
              </w:rPr>
              <w:fldChar w:fldCharType="end"/>
            </w:r>
            <w:r>
              <w:rPr>
                <w:lang w:eastAsia="en-US"/>
              </w:rPr>
              <w:t xml:space="preserve"> </w:t>
            </w:r>
            <w:r>
              <w:rPr>
                <w:rFonts w:hint="eastAsia"/>
                <w:lang w:eastAsia="en-US"/>
              </w:rPr>
              <w:t>斜拉桥监测内容</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blHeader/>
        </w:trPr>
        <w:tc>
          <w:tcPr>
            <w:tcW w:w="2501" w:type="dxa"/>
            <w:gridSpan w:val="2"/>
            <w:tcBorders>
              <w:top w:val="single" w:color="auto" w:sz="4" w:space="0"/>
              <w:right w:val="single" w:color="231F20" w:sz="4" w:space="0"/>
            </w:tcBorders>
            <w:vAlign w:val="center"/>
          </w:tcPr>
          <w:p>
            <w:pPr>
              <w:autoSpaceDE w:val="0"/>
              <w:autoSpaceDN w:val="0"/>
              <w:spacing w:before="32" w:line="288" w:lineRule="exact"/>
              <w:ind w:firstLine="0" w:firstLineChars="0"/>
              <w:jc w:val="center"/>
              <w:rPr>
                <w:rFonts w:ascii="宋体" w:hAnsi="宋体" w:cs="华光书宋_CNKI"/>
                <w:b/>
                <w:w w:val="105"/>
                <w:kern w:val="0"/>
                <w:sz w:val="21"/>
                <w:szCs w:val="21"/>
                <w:lang w:eastAsia="en-US"/>
              </w:rPr>
            </w:pPr>
            <w:r>
              <w:rPr>
                <w:rFonts w:ascii="宋体" w:hAnsi="宋体" w:cs="华光书宋_CNKI"/>
                <w:b/>
                <w:w w:val="105"/>
                <w:kern w:val="0"/>
                <w:sz w:val="21"/>
                <w:szCs w:val="21"/>
                <w:lang w:eastAsia="en-US"/>
              </w:rPr>
              <w:t>监测类别</w:t>
            </w:r>
          </w:p>
        </w:tc>
        <w:tc>
          <w:tcPr>
            <w:tcW w:w="4234" w:type="dxa"/>
            <w:tcBorders>
              <w:top w:val="single" w:color="auto" w:sz="4" w:space="0"/>
              <w:left w:val="single" w:color="231F20" w:sz="4" w:space="0"/>
              <w:right w:val="single" w:color="231F20" w:sz="4" w:space="0"/>
            </w:tcBorders>
            <w:vAlign w:val="center"/>
          </w:tcPr>
          <w:p>
            <w:pPr>
              <w:autoSpaceDE w:val="0"/>
              <w:autoSpaceDN w:val="0"/>
              <w:spacing w:before="32" w:line="288" w:lineRule="exact"/>
              <w:ind w:right="104" w:firstLine="0" w:firstLineChars="0"/>
              <w:jc w:val="center"/>
              <w:rPr>
                <w:rFonts w:ascii="宋体" w:hAnsi="宋体" w:cs="华光书宋_CNKI"/>
                <w:b/>
                <w:w w:val="105"/>
                <w:kern w:val="0"/>
                <w:sz w:val="21"/>
                <w:szCs w:val="21"/>
                <w:lang w:eastAsia="en-US"/>
              </w:rPr>
            </w:pPr>
            <w:r>
              <w:rPr>
                <w:rFonts w:ascii="宋体" w:hAnsi="宋体" w:cs="华光书宋_CNKI"/>
                <w:b/>
                <w:w w:val="105"/>
                <w:kern w:val="0"/>
                <w:sz w:val="21"/>
                <w:szCs w:val="21"/>
                <w:lang w:eastAsia="en-US"/>
              </w:rPr>
              <w:t>监 测 内 容</w:t>
            </w:r>
          </w:p>
        </w:tc>
        <w:tc>
          <w:tcPr>
            <w:tcW w:w="1571" w:type="dxa"/>
            <w:tcBorders>
              <w:top w:val="single" w:color="auto" w:sz="4" w:space="0"/>
              <w:left w:val="single" w:color="231F20" w:sz="4" w:space="0"/>
            </w:tcBorders>
            <w:vAlign w:val="center"/>
          </w:tcPr>
          <w:p>
            <w:pPr>
              <w:autoSpaceDE w:val="0"/>
              <w:autoSpaceDN w:val="0"/>
              <w:spacing w:before="32" w:line="288" w:lineRule="exact"/>
              <w:ind w:right="104" w:firstLine="0" w:firstLineChars="0"/>
              <w:jc w:val="center"/>
              <w:rPr>
                <w:rFonts w:ascii="宋体" w:hAnsi="宋体" w:cs="华光书宋_CNKI"/>
                <w:b/>
                <w:kern w:val="0"/>
                <w:sz w:val="21"/>
                <w:szCs w:val="21"/>
                <w:lang w:eastAsia="en-US"/>
              </w:rPr>
            </w:pPr>
            <w:r>
              <w:rPr>
                <w:rFonts w:hint="eastAsia" w:ascii="宋体" w:hAnsi="宋体" w:cs="华光书宋_CNKI"/>
                <w:b/>
                <w:kern w:val="0"/>
                <w:sz w:val="21"/>
                <w:szCs w:val="21"/>
                <w:lang w:eastAsia="en-US"/>
              </w:rPr>
              <w:t>监测选项</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182" w:hRule="atLeast"/>
        </w:trPr>
        <w:tc>
          <w:tcPr>
            <w:tcW w:w="835" w:type="dxa"/>
            <w:vMerge w:val="restart"/>
            <w:tcBorders>
              <w:bottom w:val="single" w:color="231F20" w:sz="4" w:space="0"/>
              <w:right w:val="single" w:color="231F20" w:sz="4" w:space="0"/>
            </w:tcBorders>
            <w:vAlign w:val="center"/>
          </w:tcPr>
          <w:p>
            <w:pPr>
              <w:autoSpaceDE w:val="0"/>
              <w:autoSpaceDN w:val="0"/>
              <w:spacing w:before="1"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环境</w:t>
            </w:r>
          </w:p>
        </w:tc>
        <w:tc>
          <w:tcPr>
            <w:tcW w:w="1666" w:type="dxa"/>
            <w:vMerge w:val="restart"/>
            <w:tcBorders>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kern w:val="0"/>
                <w:sz w:val="21"/>
                <w:szCs w:val="21"/>
                <w:lang w:eastAsia="en-US"/>
              </w:rPr>
              <w:t>温度</w:t>
            </w:r>
            <w:r>
              <w:rPr>
                <w:rFonts w:hint="eastAsia" w:ascii="宋体" w:hAnsi="宋体" w:cs="华光书宋_CNKI"/>
                <w:w w:val="80"/>
                <w:kern w:val="0"/>
                <w:sz w:val="21"/>
                <w:szCs w:val="21"/>
                <w:lang w:eastAsia="en-US"/>
              </w:rPr>
              <w:t>、</w:t>
            </w:r>
            <w:r>
              <w:rPr>
                <w:rFonts w:ascii="宋体" w:hAnsi="宋体" w:cs="华光书宋_CNKI"/>
                <w:kern w:val="0"/>
                <w:sz w:val="21"/>
                <w:szCs w:val="21"/>
                <w:lang w:eastAsia="en-US"/>
              </w:rPr>
              <w:t>湿度</w:t>
            </w:r>
          </w:p>
        </w:tc>
        <w:tc>
          <w:tcPr>
            <w:tcW w:w="4234" w:type="dxa"/>
            <w:tcBorders>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kern w:val="0"/>
                <w:sz w:val="21"/>
                <w:szCs w:val="21"/>
                <w:lang w:eastAsia="zh-CN"/>
              </w:rPr>
            </w:pPr>
            <w:r>
              <w:rPr>
                <w:rFonts w:ascii="宋体" w:hAnsi="宋体" w:cs="华光书宋_CNKI"/>
                <w:w w:val="105"/>
                <w:kern w:val="0"/>
                <w:sz w:val="21"/>
                <w:szCs w:val="21"/>
                <w:lang w:eastAsia="zh-CN"/>
              </w:rPr>
              <w:t>桥址区环境温度</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湿度</w:t>
            </w:r>
          </w:p>
        </w:tc>
        <w:tc>
          <w:tcPr>
            <w:tcW w:w="1571" w:type="dxa"/>
            <w:tcBorders>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8" w:line="292" w:lineRule="exact"/>
              <w:ind w:right="104" w:firstLine="0" w:firstLineChars="0"/>
              <w:jc w:val="center"/>
              <w:rPr>
                <w:rFonts w:ascii="宋体" w:hAnsi="宋体" w:cs="华光书宋_CNKI"/>
                <w:kern w:val="0"/>
                <w:sz w:val="21"/>
                <w:szCs w:val="21"/>
                <w:lang w:eastAsia="zh-CN"/>
              </w:rPr>
            </w:pPr>
            <w:r>
              <w:rPr>
                <w:rFonts w:hint="eastAsia" w:ascii="宋体" w:hAnsi="宋体" w:cs="华光书宋_CNKI"/>
                <w:kern w:val="0"/>
                <w:sz w:val="21"/>
                <w:szCs w:val="21"/>
                <w:lang w:eastAsia="zh-CN"/>
              </w:rPr>
              <w:t>封闭箱梁</w:t>
            </w:r>
            <w:r>
              <w:rPr>
                <w:rFonts w:ascii="宋体" w:hAnsi="宋体" w:cs="华光书宋_CNKI"/>
                <w:kern w:val="0"/>
                <w:sz w:val="21"/>
                <w:szCs w:val="21"/>
                <w:lang w:eastAsia="zh-CN"/>
              </w:rPr>
              <w:t>内温度</w:t>
            </w:r>
            <w:r>
              <w:rPr>
                <w:rFonts w:hint="eastAsia" w:ascii="宋体" w:hAnsi="宋体" w:cs="华光书宋_CNKI"/>
                <w:w w:val="80"/>
                <w:kern w:val="0"/>
                <w:sz w:val="21"/>
                <w:szCs w:val="21"/>
                <w:lang w:eastAsia="zh-CN"/>
              </w:rPr>
              <w:t>、</w:t>
            </w:r>
            <w:r>
              <w:rPr>
                <w:rFonts w:ascii="宋体" w:hAnsi="宋体" w:cs="华光书宋_CNKI"/>
                <w:kern w:val="0"/>
                <w:sz w:val="21"/>
                <w:szCs w:val="21"/>
                <w:lang w:eastAsia="zh-CN"/>
              </w:rPr>
              <w:t>湿度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zh-CN"/>
              </w:rPr>
              <w:t>索塔锚固区温度</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湿度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77" w:hRule="atLeast"/>
        </w:trPr>
        <w:tc>
          <w:tcPr>
            <w:tcW w:w="835"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雨量</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降雨量</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77" w:hRule="atLeast"/>
        </w:trPr>
        <w:tc>
          <w:tcPr>
            <w:tcW w:w="835"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结冰</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zh-CN"/>
              </w:rPr>
              <w:t>桥面结冰</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斜拉索结冰</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80" w:hRule="atLeast"/>
        </w:trPr>
        <w:tc>
          <w:tcPr>
            <w:tcW w:w="835"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雾</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能见度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restart"/>
            <w:tcBorders>
              <w:top w:val="single" w:color="231F20" w:sz="4" w:space="0"/>
              <w:right w:val="single" w:color="231F20" w:sz="4" w:space="0"/>
            </w:tcBorders>
            <w:vAlign w:val="center"/>
          </w:tcPr>
          <w:p>
            <w:pPr>
              <w:autoSpaceDE w:val="0"/>
              <w:autoSpaceDN w:val="0"/>
              <w:spacing w:before="1"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作用</w:t>
            </w:r>
          </w:p>
        </w:tc>
        <w:tc>
          <w:tcPr>
            <w:tcW w:w="1666" w:type="dxa"/>
            <w:vMerge w:val="restart"/>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车辆荷载</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zh-CN"/>
              </w:rPr>
              <w:t>所有车道车重</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轴重</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轴数</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车速</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所有车道车流量</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zh-CN"/>
              </w:rPr>
              <w:t>所有车道的车辆空间分布视频图像</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tcBorders>
              <w:top w:val="nil"/>
              <w:left w:val="single" w:color="231F20" w:sz="4" w:space="0"/>
              <w:bottom w:val="single" w:color="231F20" w:sz="4" w:space="0"/>
              <w:right w:val="single" w:color="231F20" w:sz="4" w:space="0"/>
            </w:tcBorders>
            <w:vAlign w:val="center"/>
          </w:tcPr>
          <w:p>
            <w:pPr>
              <w:autoSpaceDE w:val="0"/>
              <w:autoSpaceDN w:val="0"/>
              <w:spacing w:before="1" w:line="240" w:lineRule="auto"/>
              <w:ind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人群</w:t>
            </w:r>
            <w:r>
              <w:rPr>
                <w:rFonts w:ascii="宋体" w:hAnsi="宋体" w:cs="华光书宋_CNKI"/>
                <w:w w:val="105"/>
                <w:kern w:val="0"/>
                <w:sz w:val="21"/>
                <w:szCs w:val="21"/>
                <w:lang w:eastAsia="en-US"/>
              </w:rPr>
              <w:t>荷载</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人流量</w:t>
            </w:r>
          </w:p>
        </w:tc>
        <w:tc>
          <w:tcPr>
            <w:tcW w:w="1571"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vMerge w:val="restart"/>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204" w:line="240" w:lineRule="auto"/>
              <w:ind w:firstLine="0" w:firstLineChars="0"/>
              <w:jc w:val="center"/>
              <w:rPr>
                <w:rFonts w:ascii="宋体" w:hAnsi="宋体" w:cs="华光书宋_CNKI"/>
                <w:kern w:val="0"/>
                <w:sz w:val="21"/>
                <w:szCs w:val="21"/>
                <w:lang w:eastAsia="en-US"/>
              </w:rPr>
            </w:pPr>
            <w:r>
              <w:rPr>
                <w:rFonts w:ascii="宋体" w:hAnsi="宋体" w:cs="华光书宋_CNKI"/>
                <w:kern w:val="0"/>
                <w:sz w:val="21"/>
                <w:szCs w:val="21"/>
                <w:lang w:eastAsia="en-US"/>
              </w:rPr>
              <w:t>风速</w:t>
            </w:r>
            <w:r>
              <w:rPr>
                <w:rFonts w:hint="eastAsia" w:ascii="宋体" w:hAnsi="宋体" w:cs="华光书宋_CNKI"/>
                <w:w w:val="80"/>
                <w:kern w:val="0"/>
                <w:sz w:val="21"/>
                <w:szCs w:val="21"/>
                <w:lang w:eastAsia="en-US"/>
              </w:rPr>
              <w:t>、</w:t>
            </w:r>
            <w:r>
              <w:rPr>
                <w:rFonts w:ascii="宋体" w:hAnsi="宋体" w:cs="华光书宋_CNKI"/>
                <w:kern w:val="0"/>
                <w:sz w:val="21"/>
                <w:szCs w:val="21"/>
                <w:lang w:eastAsia="en-US"/>
              </w:rPr>
              <w:t>风向</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桥面风速</w:t>
            </w:r>
            <w:r>
              <w:rPr>
                <w:rFonts w:hint="eastAsia" w:ascii="宋体" w:hAnsi="宋体" w:cs="华光书宋_CNKI"/>
                <w:w w:val="105"/>
                <w:kern w:val="0"/>
                <w:sz w:val="21"/>
                <w:szCs w:val="21"/>
                <w:lang w:eastAsia="en-US"/>
              </w:rPr>
              <w:t>、</w:t>
            </w:r>
            <w:r>
              <w:rPr>
                <w:rFonts w:ascii="宋体" w:hAnsi="宋体" w:cs="华光书宋_CNKI"/>
                <w:w w:val="105"/>
                <w:kern w:val="0"/>
                <w:sz w:val="21"/>
                <w:szCs w:val="21"/>
                <w:lang w:eastAsia="en-US"/>
              </w:rPr>
              <w:t>风向</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塔顶风速</w:t>
            </w:r>
            <w:r>
              <w:rPr>
                <w:rFonts w:hint="eastAsia" w:ascii="宋体" w:hAnsi="宋体" w:cs="华光书宋_CNKI"/>
                <w:w w:val="105"/>
                <w:kern w:val="0"/>
                <w:sz w:val="21"/>
                <w:szCs w:val="21"/>
                <w:lang w:eastAsia="en-US"/>
              </w:rPr>
              <w:t>、</w:t>
            </w:r>
            <w:r>
              <w:rPr>
                <w:rFonts w:ascii="宋体" w:hAnsi="宋体" w:cs="华光书宋_CNKI"/>
                <w:w w:val="105"/>
                <w:kern w:val="0"/>
                <w:sz w:val="21"/>
                <w:szCs w:val="21"/>
                <w:lang w:eastAsia="en-US"/>
              </w:rPr>
              <w:t>风向</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1"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结构温度</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zh-CN"/>
              </w:rPr>
              <w:t>混凝土或钢结构构件温度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vMerge w:val="restart"/>
            <w:tcBorders>
              <w:top w:val="nil"/>
              <w:left w:val="single" w:color="231F20" w:sz="4" w:space="0"/>
              <w:right w:val="single" w:color="231F20" w:sz="4" w:space="0"/>
            </w:tcBorders>
            <w:vAlign w:val="center"/>
          </w:tcPr>
          <w:p>
            <w:pPr>
              <w:autoSpaceDE w:val="0"/>
              <w:autoSpaceDN w:val="0"/>
              <w:spacing w:before="1"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船舶撞击</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桥墩加速度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vMerge w:val="continue"/>
            <w:tcBorders>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strike/>
                <w:w w:val="105"/>
                <w:kern w:val="0"/>
                <w:sz w:val="21"/>
                <w:szCs w:val="21"/>
                <w:lang w:eastAsia="en-US"/>
              </w:rPr>
            </w:pPr>
            <w:r>
              <w:rPr>
                <w:rFonts w:ascii="宋体" w:hAnsi="宋体" w:cs="华光书宋_CNKI"/>
                <w:w w:val="105"/>
                <w:kern w:val="0"/>
                <w:sz w:val="21"/>
                <w:szCs w:val="21"/>
                <w:lang w:eastAsia="en-US"/>
              </w:rPr>
              <w:t>视频图像</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strike/>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vMerge w:val="restart"/>
            <w:tcBorders>
              <w:top w:val="single" w:color="231F20" w:sz="4" w:space="0"/>
              <w:left w:val="single" w:color="231F20" w:sz="4" w:space="0"/>
              <w:right w:val="single" w:color="231F20" w:sz="4" w:space="0"/>
            </w:tcBorders>
            <w:vAlign w:val="center"/>
          </w:tcPr>
          <w:p>
            <w:pPr>
              <w:autoSpaceDE w:val="0"/>
              <w:autoSpaceDN w:val="0"/>
              <w:spacing w:before="1" w:line="240" w:lineRule="auto"/>
              <w:ind w:firstLine="0" w:firstLineChars="0"/>
              <w:jc w:val="center"/>
              <w:rPr>
                <w:rFonts w:ascii="宋体" w:hAnsi="宋体" w:cs="华光书宋_CNKI"/>
                <w:kern w:val="0"/>
                <w:sz w:val="21"/>
                <w:szCs w:val="21"/>
                <w:lang w:eastAsia="en-US"/>
              </w:rPr>
            </w:pPr>
            <w:r>
              <w:rPr>
                <w:rFonts w:hint="eastAsia" w:ascii="宋体" w:hAnsi="宋体" w:cs="华光书宋_CNKI"/>
                <w:kern w:val="0"/>
                <w:sz w:val="21"/>
                <w:szCs w:val="21"/>
                <w:lang w:eastAsia="en-US"/>
              </w:rPr>
              <w:t>车辆</w:t>
            </w:r>
            <w:r>
              <w:rPr>
                <w:rFonts w:ascii="宋体" w:hAnsi="宋体" w:cs="华光书宋_CNKI"/>
                <w:kern w:val="0"/>
                <w:sz w:val="21"/>
                <w:szCs w:val="21"/>
                <w:lang w:eastAsia="en-US"/>
              </w:rPr>
              <w:t>撞击</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桥墩加速度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vMerge w:val="continue"/>
            <w:tcBorders>
              <w:top w:val="nil"/>
              <w:left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strike/>
                <w:w w:val="105"/>
                <w:kern w:val="0"/>
                <w:sz w:val="21"/>
                <w:szCs w:val="21"/>
                <w:lang w:eastAsia="en-US"/>
              </w:rPr>
            </w:pPr>
            <w:r>
              <w:rPr>
                <w:rFonts w:ascii="宋体" w:hAnsi="宋体" w:cs="华光书宋_CNKI"/>
                <w:w w:val="105"/>
                <w:kern w:val="0"/>
                <w:sz w:val="21"/>
                <w:szCs w:val="21"/>
                <w:lang w:eastAsia="en-US"/>
              </w:rPr>
              <w:t>视频图像</w:t>
            </w:r>
          </w:p>
        </w:tc>
        <w:tc>
          <w:tcPr>
            <w:tcW w:w="1571" w:type="dxa"/>
            <w:tcBorders>
              <w:top w:val="single" w:color="231F20" w:sz="4" w:space="0"/>
              <w:lef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strike/>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400" w:hRule="atLeast"/>
        </w:trPr>
        <w:tc>
          <w:tcPr>
            <w:tcW w:w="835" w:type="dxa"/>
            <w:vMerge w:val="continue"/>
            <w:tcBorders>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vMerge w:val="restart"/>
            <w:tcBorders>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地震</w:t>
            </w:r>
          </w:p>
        </w:tc>
        <w:tc>
          <w:tcPr>
            <w:tcW w:w="4234" w:type="dxa"/>
            <w:tcBorders>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桥岸地表场地加速度</w:t>
            </w:r>
          </w:p>
        </w:tc>
        <w:tc>
          <w:tcPr>
            <w:tcW w:w="1571" w:type="dxa"/>
            <w:tcBorders>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zh-CN"/>
              </w:rPr>
              <w:t>承台顶或桥墩底部加速度</w:t>
            </w:r>
          </w:p>
          <w:p>
            <w:pPr>
              <w:autoSpaceDE w:val="0"/>
              <w:autoSpaceDN w:val="0"/>
              <w:spacing w:before="37" w:line="240" w:lineRule="auto"/>
              <w:ind w:right="104" w:firstLine="0" w:firstLineChars="0"/>
              <w:jc w:val="center"/>
              <w:rPr>
                <w:rFonts w:ascii="宋体" w:hAnsi="宋体" w:cs="华光书宋_CNKI"/>
                <w:w w:val="105"/>
                <w:kern w:val="0"/>
                <w:sz w:val="21"/>
                <w:szCs w:val="21"/>
                <w:lang w:eastAsia="zh-CN"/>
              </w:rPr>
            </w:pPr>
            <w:r>
              <w:rPr>
                <w:rFonts w:hint="eastAsia" w:ascii="宋体" w:hAnsi="宋体" w:cs="华光书宋_CNKI"/>
                <w:w w:val="105"/>
                <w:kern w:val="0"/>
                <w:sz w:val="21"/>
                <w:szCs w:val="21"/>
                <w:lang w:eastAsia="zh-CN"/>
              </w:rPr>
              <w:t xml:space="preserve">（ </w:t>
            </w:r>
            <w:r>
              <w:rPr>
                <w:rFonts w:ascii="宋体" w:hAnsi="宋体" w:cs="华光书宋_CNKI"/>
                <w:w w:val="105"/>
                <w:kern w:val="0"/>
                <w:sz w:val="21"/>
                <w:szCs w:val="21"/>
                <w:lang w:eastAsia="zh-CN"/>
              </w:rPr>
              <w:t>抗震设防烈度为</w:t>
            </w:r>
            <w:r>
              <w:rPr>
                <w:rFonts w:hint="eastAsia" w:ascii="宋体" w:hAnsi="宋体" w:cs="华光书宋_CNKI"/>
                <w:w w:val="105"/>
                <w:kern w:val="0"/>
                <w:sz w:val="21"/>
                <w:szCs w:val="21"/>
                <w:lang w:eastAsia="zh-CN"/>
              </w:rPr>
              <w:t>7</w:t>
            </w:r>
            <w:r>
              <w:rPr>
                <w:rFonts w:ascii="宋体" w:hAnsi="宋体" w:cs="华光书宋_CNKI"/>
                <w:w w:val="105"/>
                <w:kern w:val="0"/>
                <w:sz w:val="21"/>
                <w:szCs w:val="21"/>
                <w:lang w:eastAsia="zh-CN"/>
              </w:rPr>
              <w:t>度及以上</w:t>
            </w:r>
            <w:r>
              <w:rPr>
                <w:rFonts w:hint="eastAsia" w:ascii="宋体" w:hAnsi="宋体" w:cs="华光书宋_CNKI"/>
                <w:w w:val="105"/>
                <w:kern w:val="0"/>
                <w:sz w:val="21"/>
                <w:szCs w:val="21"/>
                <w:lang w:eastAsia="zh-CN"/>
              </w:rPr>
              <w:t>）</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zh-CN"/>
              </w:rPr>
              <w:t>承台顶或桥墩底部加速度</w:t>
            </w:r>
          </w:p>
          <w:p>
            <w:pPr>
              <w:autoSpaceDE w:val="0"/>
              <w:autoSpaceDN w:val="0"/>
              <w:spacing w:before="37" w:line="240" w:lineRule="auto"/>
              <w:ind w:right="104" w:firstLine="0" w:firstLineChars="0"/>
              <w:jc w:val="center"/>
              <w:rPr>
                <w:rFonts w:ascii="宋体" w:hAnsi="宋体" w:cs="华光书宋_CNKI"/>
                <w:w w:val="105"/>
                <w:kern w:val="0"/>
                <w:sz w:val="21"/>
                <w:szCs w:val="21"/>
                <w:lang w:eastAsia="zh-CN"/>
              </w:rPr>
            </w:pPr>
            <w:r>
              <w:rPr>
                <w:rFonts w:hint="eastAsia" w:ascii="宋体" w:hAnsi="宋体" w:cs="华光书宋_CNKI"/>
                <w:w w:val="105"/>
                <w:kern w:val="0"/>
                <w:sz w:val="21"/>
                <w:szCs w:val="21"/>
                <w:lang w:eastAsia="zh-CN"/>
              </w:rPr>
              <w:t xml:space="preserve">（ </w:t>
            </w:r>
            <w:r>
              <w:rPr>
                <w:rFonts w:ascii="宋体" w:hAnsi="宋体" w:cs="华光书宋_CNKI"/>
                <w:w w:val="105"/>
                <w:kern w:val="0"/>
                <w:sz w:val="21"/>
                <w:szCs w:val="21"/>
                <w:lang w:eastAsia="zh-CN"/>
              </w:rPr>
              <w:t>抗震设防烈度为</w:t>
            </w:r>
            <w:r>
              <w:rPr>
                <w:rFonts w:hint="eastAsia" w:ascii="宋体" w:hAnsi="宋体" w:cs="华光书宋_CNKI"/>
                <w:w w:val="105"/>
                <w:kern w:val="0"/>
                <w:sz w:val="21"/>
                <w:szCs w:val="21"/>
                <w:lang w:eastAsia="zh-CN"/>
              </w:rPr>
              <w:t>7</w:t>
            </w:r>
            <w:r>
              <w:rPr>
                <w:rFonts w:ascii="宋体" w:hAnsi="宋体" w:cs="华光书宋_CNKI"/>
                <w:w w:val="105"/>
                <w:kern w:val="0"/>
                <w:sz w:val="21"/>
                <w:szCs w:val="21"/>
                <w:lang w:eastAsia="zh-CN"/>
              </w:rPr>
              <w:t>度以下</w:t>
            </w:r>
            <w:r>
              <w:rPr>
                <w:rFonts w:hint="eastAsia" w:ascii="宋体" w:hAnsi="宋体" w:cs="华光书宋_CNKI"/>
                <w:w w:val="105"/>
                <w:kern w:val="0"/>
                <w:sz w:val="21"/>
                <w:szCs w:val="21"/>
                <w:lang w:eastAsia="zh-CN"/>
              </w:rPr>
              <w:t>）</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restart"/>
            <w:tcBorders>
              <w:top w:val="single" w:color="231F20" w:sz="4" w:space="0"/>
              <w:bottom w:val="single" w:color="231F20" w:sz="4" w:space="0"/>
              <w:right w:val="single" w:color="231F20" w:sz="4" w:space="0"/>
            </w:tcBorders>
            <w:vAlign w:val="center"/>
          </w:tcPr>
          <w:p>
            <w:pPr>
              <w:autoSpaceDE w:val="0"/>
              <w:autoSpaceDN w:val="0"/>
              <w:spacing w:before="1"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结构</w:t>
            </w:r>
          </w:p>
          <w:p>
            <w:pPr>
              <w:autoSpaceDE w:val="0"/>
              <w:autoSpaceDN w:val="0"/>
              <w:spacing w:before="1"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响应</w:t>
            </w:r>
          </w:p>
        </w:tc>
        <w:tc>
          <w:tcPr>
            <w:tcW w:w="1666" w:type="dxa"/>
            <w:vMerge w:val="restart"/>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位移</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主梁竖向位移</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主梁横向位移</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支座位移</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梁端纵向位移</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塔顶偏位</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restart"/>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转角</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塔顶转角</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梁端水平转角</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梁端竖向转角</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restart"/>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应变</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主梁关键截面应变</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索塔关键截面应变</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索力</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斜拉索索力</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支座反力</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支座反力</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restart"/>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振动</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主梁竖向振动加速度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主梁横向振动加速度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主梁纵向振动加速度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zh-CN"/>
              </w:rPr>
              <w:t>塔顶水平双向振动加速度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斜拉索振动加速度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restart"/>
            <w:tcBorders>
              <w:top w:val="single" w:color="231F20" w:sz="4" w:space="0"/>
              <w:right w:val="single" w:color="231F20" w:sz="4" w:space="0"/>
            </w:tcBorders>
            <w:vAlign w:val="center"/>
          </w:tcPr>
          <w:p>
            <w:pPr>
              <w:autoSpaceDE w:val="0"/>
              <w:autoSpaceDN w:val="0"/>
              <w:spacing w:before="1"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结构</w:t>
            </w:r>
          </w:p>
          <w:p>
            <w:pPr>
              <w:autoSpaceDE w:val="0"/>
              <w:autoSpaceDN w:val="0"/>
              <w:spacing w:before="1"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变化</w:t>
            </w:r>
          </w:p>
        </w:tc>
        <w:tc>
          <w:tcPr>
            <w:tcW w:w="166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88" w:lineRule="exact"/>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基础冲刷</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基础冲刷深度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single" w:color="231F20" w:sz="4" w:space="0"/>
              <w:right w:val="single" w:color="231F20" w:sz="4" w:space="0"/>
            </w:tcBorders>
            <w:vAlign w:val="center"/>
          </w:tcPr>
          <w:p>
            <w:pPr>
              <w:autoSpaceDE w:val="0"/>
              <w:autoSpaceDN w:val="0"/>
              <w:spacing w:before="1" w:line="240" w:lineRule="auto"/>
              <w:ind w:left="88" w:firstLine="441" w:firstLineChars="0"/>
              <w:jc w:val="center"/>
              <w:rPr>
                <w:rFonts w:ascii="宋体" w:hAnsi="宋体" w:cs="华光书宋_CNKI"/>
                <w:w w:val="105"/>
                <w:kern w:val="0"/>
                <w:sz w:val="21"/>
                <w:szCs w:val="21"/>
                <w:lang w:eastAsia="en-US"/>
              </w:rPr>
            </w:pPr>
          </w:p>
        </w:tc>
        <w:tc>
          <w:tcPr>
            <w:tcW w:w="1666" w:type="dxa"/>
            <w:vMerge w:val="restart"/>
            <w:tcBorders>
              <w:top w:val="single" w:color="231F20" w:sz="4" w:space="0"/>
              <w:left w:val="single" w:color="231F20" w:sz="4" w:space="0"/>
              <w:right w:val="single" w:color="231F20" w:sz="4" w:space="0"/>
            </w:tcBorders>
            <w:vAlign w:val="center"/>
          </w:tcPr>
          <w:p>
            <w:pPr>
              <w:autoSpaceDE w:val="0"/>
              <w:autoSpaceDN w:val="0"/>
              <w:spacing w:before="37" w:line="288" w:lineRule="exact"/>
              <w:ind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基础</w:t>
            </w:r>
            <w:r>
              <w:rPr>
                <w:rFonts w:ascii="宋体" w:hAnsi="宋体" w:cs="华光书宋_CNKI"/>
                <w:w w:val="105"/>
                <w:kern w:val="0"/>
                <w:sz w:val="21"/>
                <w:szCs w:val="21"/>
                <w:lang w:eastAsia="en-US"/>
              </w:rPr>
              <w:t>沉降</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zh-CN"/>
              </w:rPr>
              <w:t>有辅助墩的斜拉桥</w:t>
            </w:r>
            <w:r>
              <w:rPr>
                <w:rFonts w:hint="eastAsia" w:ascii="宋体" w:hAnsi="宋体" w:cs="华光书宋_CNKI"/>
                <w:w w:val="105"/>
                <w:kern w:val="0"/>
                <w:sz w:val="21"/>
                <w:szCs w:val="21"/>
                <w:lang w:eastAsia="zh-CN"/>
              </w:rPr>
              <w:t>基础</w:t>
            </w:r>
            <w:r>
              <w:rPr>
                <w:rFonts w:ascii="宋体" w:hAnsi="宋体" w:cs="华光书宋_CNKI"/>
                <w:w w:val="105"/>
                <w:kern w:val="0"/>
                <w:sz w:val="21"/>
                <w:szCs w:val="21"/>
                <w:lang w:eastAsia="zh-CN"/>
              </w:rPr>
              <w:t>沉降</w:t>
            </w:r>
            <w:r>
              <w:rPr>
                <w:rFonts w:hint="eastAsia" w:ascii="宋体" w:hAnsi="宋体" w:cs="华光书宋_CNKI"/>
                <w:w w:val="105"/>
                <w:kern w:val="0"/>
                <w:sz w:val="21"/>
                <w:szCs w:val="21"/>
                <w:lang w:eastAsia="zh-CN"/>
              </w:rPr>
              <w:t>量</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single" w:color="231F20" w:sz="4" w:space="0"/>
              <w:right w:val="single" w:color="231F20" w:sz="4" w:space="0"/>
            </w:tcBorders>
            <w:vAlign w:val="center"/>
          </w:tcPr>
          <w:p>
            <w:pPr>
              <w:autoSpaceDE w:val="0"/>
              <w:autoSpaceDN w:val="0"/>
              <w:spacing w:before="1" w:line="240" w:lineRule="auto"/>
              <w:ind w:left="88" w:firstLine="441" w:firstLineChars="0"/>
              <w:jc w:val="center"/>
              <w:rPr>
                <w:rFonts w:ascii="宋体" w:hAnsi="宋体" w:cs="华光书宋_CNKI"/>
                <w:w w:val="105"/>
                <w:kern w:val="0"/>
                <w:sz w:val="21"/>
                <w:szCs w:val="21"/>
                <w:lang w:eastAsia="en-US"/>
              </w:rPr>
            </w:pPr>
          </w:p>
        </w:tc>
        <w:tc>
          <w:tcPr>
            <w:tcW w:w="1666" w:type="dxa"/>
            <w:vMerge w:val="continue"/>
            <w:tcBorders>
              <w:left w:val="single" w:color="231F20" w:sz="4" w:space="0"/>
              <w:bottom w:val="single" w:color="231F20" w:sz="4" w:space="0"/>
              <w:right w:val="single" w:color="231F20" w:sz="4" w:space="0"/>
            </w:tcBorders>
            <w:vAlign w:val="center"/>
          </w:tcPr>
          <w:p>
            <w:pPr>
              <w:autoSpaceDE w:val="0"/>
              <w:autoSpaceDN w:val="0"/>
              <w:spacing w:before="37" w:line="288" w:lineRule="exact"/>
              <w:ind w:left="16" w:firstLine="441" w:firstLineChars="0"/>
              <w:jc w:val="center"/>
              <w:rPr>
                <w:rFonts w:ascii="宋体" w:hAnsi="宋体" w:cs="华光书宋_CNKI"/>
                <w:w w:val="105"/>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zh-CN"/>
              </w:rPr>
            </w:pPr>
            <w:r>
              <w:rPr>
                <w:rFonts w:hint="eastAsia" w:ascii="宋体" w:hAnsi="宋体" w:cs="华光书宋_CNKI"/>
                <w:w w:val="105"/>
                <w:kern w:val="0"/>
                <w:sz w:val="21"/>
                <w:szCs w:val="21"/>
                <w:lang w:eastAsia="zh-CN"/>
              </w:rPr>
              <w:t>无</w:t>
            </w:r>
            <w:r>
              <w:rPr>
                <w:rFonts w:ascii="宋体" w:hAnsi="宋体" w:cs="华光书宋_CNKI"/>
                <w:w w:val="105"/>
                <w:kern w:val="0"/>
                <w:sz w:val="21"/>
                <w:szCs w:val="21"/>
                <w:lang w:eastAsia="zh-CN"/>
              </w:rPr>
              <w:t>辅助墩的斜拉桥</w:t>
            </w:r>
            <w:r>
              <w:rPr>
                <w:rFonts w:hint="eastAsia" w:ascii="宋体" w:hAnsi="宋体" w:cs="华光书宋_CNKI"/>
                <w:w w:val="105"/>
                <w:kern w:val="0"/>
                <w:sz w:val="21"/>
                <w:szCs w:val="21"/>
                <w:lang w:eastAsia="zh-CN"/>
              </w:rPr>
              <w:t>基础</w:t>
            </w:r>
            <w:r>
              <w:rPr>
                <w:rFonts w:ascii="宋体" w:hAnsi="宋体" w:cs="华光书宋_CNKI"/>
                <w:w w:val="105"/>
                <w:kern w:val="0"/>
                <w:sz w:val="21"/>
                <w:szCs w:val="21"/>
                <w:lang w:eastAsia="zh-CN"/>
              </w:rPr>
              <w:t>沉降</w:t>
            </w:r>
            <w:r>
              <w:rPr>
                <w:rFonts w:hint="eastAsia" w:ascii="宋体" w:hAnsi="宋体" w:cs="华光书宋_CNKI"/>
                <w:w w:val="105"/>
                <w:kern w:val="0"/>
                <w:sz w:val="21"/>
                <w:szCs w:val="21"/>
                <w:lang w:eastAsia="zh-CN"/>
              </w:rPr>
              <w:t>量</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single" w:color="231F20" w:sz="4" w:space="0"/>
              <w:right w:val="single" w:color="231F20" w:sz="4" w:space="0"/>
            </w:tcBorders>
            <w:vAlign w:val="center"/>
          </w:tcPr>
          <w:p>
            <w:pPr>
              <w:autoSpaceDE w:val="0"/>
              <w:autoSpaceDN w:val="0"/>
              <w:spacing w:before="1" w:line="240" w:lineRule="auto"/>
              <w:ind w:left="88" w:firstLine="441" w:firstLineChars="0"/>
              <w:jc w:val="center"/>
              <w:rPr>
                <w:rFonts w:ascii="宋体" w:hAnsi="宋体" w:cs="华光书宋_CNKI"/>
                <w:w w:val="105"/>
                <w:kern w:val="0"/>
                <w:sz w:val="21"/>
                <w:szCs w:val="21"/>
                <w:lang w:eastAsia="en-US"/>
              </w:rPr>
            </w:pPr>
          </w:p>
        </w:tc>
        <w:tc>
          <w:tcPr>
            <w:tcW w:w="166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88" w:lineRule="exact"/>
              <w:ind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线形</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zh-CN"/>
              </w:rPr>
            </w:pPr>
            <w:r>
              <w:rPr>
                <w:rFonts w:hint="eastAsia" w:ascii="宋体" w:hAnsi="宋体" w:cs="华光书宋_CNKI"/>
                <w:w w:val="105"/>
                <w:kern w:val="0"/>
                <w:sz w:val="21"/>
                <w:szCs w:val="21"/>
                <w:lang w:eastAsia="zh-CN"/>
              </w:rPr>
              <w:t>主梁竖向</w:t>
            </w:r>
            <w:r>
              <w:rPr>
                <w:rFonts w:ascii="宋体" w:hAnsi="宋体" w:cs="华光书宋_CNKI"/>
                <w:w w:val="105"/>
                <w:kern w:val="0"/>
                <w:sz w:val="21"/>
                <w:szCs w:val="21"/>
                <w:lang w:eastAsia="zh-CN"/>
              </w:rPr>
              <w:t>线形</w:t>
            </w:r>
            <w:r>
              <w:rPr>
                <w:rFonts w:hint="eastAsia" w:ascii="宋体" w:hAnsi="宋体" w:cs="华光书宋_CNKI"/>
                <w:w w:val="105"/>
                <w:kern w:val="0"/>
                <w:sz w:val="21"/>
                <w:szCs w:val="21"/>
                <w:lang w:eastAsia="zh-CN"/>
              </w:rPr>
              <w:t>、桥</w:t>
            </w:r>
            <w:r>
              <w:rPr>
                <w:rFonts w:ascii="宋体" w:hAnsi="宋体" w:cs="华光书宋_CNKI"/>
                <w:w w:val="105"/>
                <w:kern w:val="0"/>
                <w:sz w:val="21"/>
                <w:szCs w:val="21"/>
                <w:lang w:eastAsia="zh-CN"/>
              </w:rPr>
              <w:t>塔</w:t>
            </w:r>
            <w:r>
              <w:rPr>
                <w:rFonts w:hint="eastAsia" w:ascii="宋体" w:hAnsi="宋体" w:cs="华光书宋_CNKI"/>
                <w:w w:val="105"/>
                <w:kern w:val="0"/>
                <w:sz w:val="21"/>
                <w:szCs w:val="21"/>
                <w:lang w:eastAsia="zh-CN"/>
              </w:rPr>
              <w:t>线形</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single" w:color="231F20" w:sz="4" w:space="0"/>
              <w:right w:val="single" w:color="231F20" w:sz="4" w:space="0"/>
            </w:tcBorders>
            <w:vAlign w:val="center"/>
          </w:tcPr>
          <w:p>
            <w:pPr>
              <w:autoSpaceDE w:val="0"/>
              <w:autoSpaceDN w:val="0"/>
              <w:spacing w:before="1" w:line="240" w:lineRule="auto"/>
              <w:ind w:left="88" w:firstLine="441" w:firstLineChars="0"/>
              <w:jc w:val="center"/>
              <w:rPr>
                <w:rFonts w:ascii="宋体" w:hAnsi="宋体" w:cs="华光书宋_CNKI"/>
                <w:w w:val="105"/>
                <w:kern w:val="0"/>
                <w:sz w:val="21"/>
                <w:szCs w:val="21"/>
                <w:lang w:eastAsia="en-US"/>
              </w:rPr>
            </w:pPr>
          </w:p>
        </w:tc>
        <w:tc>
          <w:tcPr>
            <w:tcW w:w="166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88" w:lineRule="exact"/>
              <w:ind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伸缩缝变位</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伸缩缝宽度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restart"/>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裂缝</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zh-CN"/>
              </w:rPr>
              <w:t>混凝土结构</w:t>
            </w:r>
            <w:r>
              <w:rPr>
                <w:rFonts w:hint="eastAsia" w:ascii="宋体" w:hAnsi="宋体" w:cs="华光书宋_CNKI"/>
                <w:w w:val="105"/>
                <w:kern w:val="0"/>
                <w:sz w:val="21"/>
                <w:szCs w:val="21"/>
                <w:lang w:eastAsia="zh-CN"/>
              </w:rPr>
              <w:t>结构性</w:t>
            </w:r>
            <w:r>
              <w:rPr>
                <w:rFonts w:ascii="宋体" w:hAnsi="宋体" w:cs="华光书宋_CNKI"/>
                <w:w w:val="105"/>
                <w:kern w:val="0"/>
                <w:sz w:val="21"/>
                <w:szCs w:val="21"/>
                <w:lang w:eastAsia="zh-CN"/>
              </w:rPr>
              <w:t>裂缝</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钢结构</w:t>
            </w:r>
            <w:r>
              <w:rPr>
                <w:rFonts w:hint="eastAsia" w:ascii="宋体" w:hAnsi="宋体" w:cs="华光书宋_CNKI"/>
                <w:w w:val="105"/>
                <w:kern w:val="0"/>
                <w:sz w:val="21"/>
                <w:szCs w:val="21"/>
                <w:lang w:eastAsia="en-US"/>
              </w:rPr>
              <w:t>结构性</w:t>
            </w:r>
            <w:r>
              <w:rPr>
                <w:rFonts w:ascii="宋体" w:hAnsi="宋体" w:cs="华光书宋_CNKI"/>
                <w:w w:val="105"/>
                <w:kern w:val="0"/>
                <w:sz w:val="21"/>
                <w:szCs w:val="21"/>
                <w:lang w:eastAsia="en-US"/>
              </w:rPr>
              <w:t>裂缝</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restart"/>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腐蚀</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zh-CN"/>
              </w:rPr>
            </w:pPr>
            <w:r>
              <w:rPr>
                <w:rFonts w:hint="eastAsia" w:ascii="宋体" w:hAnsi="宋体" w:cs="华光书宋_CNKI"/>
                <w:w w:val="105"/>
                <w:kern w:val="0"/>
                <w:sz w:val="21"/>
                <w:szCs w:val="21"/>
                <w:lang w:eastAsia="zh-CN"/>
              </w:rPr>
              <w:t>主墩</w:t>
            </w:r>
            <w:r>
              <w:rPr>
                <w:rFonts w:ascii="宋体" w:hAnsi="宋体" w:cs="华光书宋_CNKI"/>
                <w:w w:val="105"/>
                <w:kern w:val="0"/>
                <w:sz w:val="21"/>
                <w:szCs w:val="21"/>
                <w:lang w:eastAsia="zh-CN"/>
              </w:rPr>
              <w:t>墩身</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承台混凝土氯离子浓度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left="120" w:right="104" w:firstLine="0" w:firstLineChars="0"/>
              <w:jc w:val="center"/>
              <w:rPr>
                <w:rFonts w:ascii="宋体" w:hAnsi="宋体" w:cs="华光书宋_CNKI"/>
                <w:w w:val="105"/>
                <w:kern w:val="0"/>
                <w:sz w:val="21"/>
                <w:szCs w:val="21"/>
                <w:lang w:eastAsia="zh-CN"/>
              </w:rPr>
            </w:pPr>
            <w:r>
              <w:rPr>
                <w:rFonts w:hint="eastAsia" w:ascii="宋体" w:hAnsi="宋体" w:cs="华光书宋_CNKI"/>
                <w:w w:val="105"/>
                <w:kern w:val="0"/>
                <w:sz w:val="21"/>
                <w:szCs w:val="21"/>
                <w:lang w:eastAsia="zh-CN"/>
              </w:rPr>
              <w:t>主墩</w:t>
            </w:r>
            <w:r>
              <w:rPr>
                <w:rFonts w:ascii="宋体" w:hAnsi="宋体" w:cs="华光书宋_CNKI"/>
                <w:w w:val="105"/>
                <w:kern w:val="0"/>
                <w:sz w:val="21"/>
                <w:szCs w:val="21"/>
                <w:lang w:eastAsia="zh-CN"/>
              </w:rPr>
              <w:t>墩身</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承台混凝土氯离子侵蚀深度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2" w:line="288" w:lineRule="exact"/>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预应力</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体外预应力</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2" w:line="288" w:lineRule="exact"/>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断丝</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斜拉索断丝</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tcBorders>
              <w:top w:val="single" w:color="231F20" w:sz="4" w:space="0"/>
              <w:left w:val="single" w:color="231F20" w:sz="4" w:space="0"/>
              <w:right w:val="single" w:color="231F20" w:sz="4" w:space="0"/>
            </w:tcBorders>
            <w:vAlign w:val="center"/>
          </w:tcPr>
          <w:p>
            <w:pPr>
              <w:autoSpaceDE w:val="0"/>
              <w:autoSpaceDN w:val="0"/>
              <w:spacing w:before="32" w:line="288" w:lineRule="exact"/>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螺栓状态</w:t>
            </w:r>
          </w:p>
        </w:tc>
        <w:tc>
          <w:tcPr>
            <w:tcW w:w="4234" w:type="dxa"/>
            <w:tcBorders>
              <w:top w:val="single" w:color="231F20" w:sz="4" w:space="0"/>
              <w:left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zh-CN"/>
              </w:rPr>
              <w:t>高强螺栓紧固力</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螺栓滑脱</w:t>
            </w:r>
          </w:p>
        </w:tc>
        <w:tc>
          <w:tcPr>
            <w:tcW w:w="1571" w:type="dxa"/>
            <w:tcBorders>
              <w:top w:val="single" w:color="231F20" w:sz="4" w:space="0"/>
              <w:lef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06" w:type="dxa"/>
            <w:gridSpan w:val="4"/>
            <w:vAlign w:val="center"/>
          </w:tcPr>
          <w:p>
            <w:pPr>
              <w:autoSpaceDE w:val="0"/>
              <w:autoSpaceDN w:val="0"/>
              <w:spacing w:before="32" w:line="288" w:lineRule="exact"/>
              <w:ind w:right="104" w:firstLine="0" w:firstLineChars="0"/>
              <w:jc w:val="left"/>
              <w:rPr>
                <w:rFonts w:ascii="宋体" w:hAnsi="宋体" w:cs="华光书宋_CNKI"/>
                <w:w w:val="105"/>
                <w:kern w:val="0"/>
                <w:sz w:val="21"/>
                <w:szCs w:val="21"/>
                <w:lang w:eastAsia="zh-CN"/>
              </w:rPr>
            </w:pPr>
            <w:r>
              <w:rPr>
                <w:rFonts w:hint="eastAsia" w:ascii="宋体" w:hAnsi="宋体" w:cs="华光书宋_CNKI"/>
                <w:w w:val="105"/>
                <w:kern w:val="0"/>
                <w:sz w:val="21"/>
                <w:szCs w:val="21"/>
                <w:lang w:eastAsia="zh-CN"/>
              </w:rPr>
              <w:t>注</w:t>
            </w:r>
            <w:r>
              <w:rPr>
                <w:rFonts w:ascii="宋体" w:hAnsi="宋体" w:cs="华光书宋_CNKI"/>
                <w:w w:val="105"/>
                <w:kern w:val="0"/>
                <w:sz w:val="21"/>
                <w:szCs w:val="21"/>
                <w:lang w:eastAsia="zh-CN"/>
              </w:rPr>
              <w:t>：</w:t>
            </w:r>
            <w:r>
              <w:rPr>
                <w:rFonts w:hint="eastAsia" w:ascii="宋体" w:hAnsi="宋体" w:cs="华光书宋_CNKI"/>
                <w:w w:val="105"/>
                <w:kern w:val="0"/>
                <w:sz w:val="21"/>
                <w:szCs w:val="21"/>
                <w:lang w:eastAsia="zh-CN"/>
              </w:rPr>
              <w:t>1、●</w:t>
            </w:r>
            <w:r>
              <w:rPr>
                <w:rFonts w:ascii="宋体" w:hAnsi="宋体" w:cs="华光书宋_CNKI"/>
                <w:w w:val="105"/>
                <w:kern w:val="0"/>
                <w:sz w:val="21"/>
                <w:szCs w:val="21"/>
                <w:lang w:eastAsia="zh-CN"/>
              </w:rPr>
              <w:t>为应选监测项</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为宜选监测项</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为可选监测项</w:t>
            </w:r>
            <w:r>
              <w:rPr>
                <w:rFonts w:hint="eastAsia" w:ascii="宋体" w:hAnsi="宋体" w:cs="华光书宋_CNKI"/>
                <w:w w:val="105"/>
                <w:kern w:val="0"/>
                <w:sz w:val="21"/>
                <w:szCs w:val="21"/>
                <w:lang w:eastAsia="zh-CN"/>
              </w:rPr>
              <w:t>。</w:t>
            </w:r>
          </w:p>
        </w:tc>
      </w:tr>
    </w:tbl>
    <w:p>
      <w:pPr>
        <w:ind w:firstLine="480"/>
      </w:pPr>
    </w:p>
    <w:p>
      <w:pPr>
        <w:pStyle w:val="4"/>
      </w:pPr>
      <w:r>
        <w:rPr>
          <w:rFonts w:hint="eastAsia"/>
        </w:rPr>
        <w:t>特大跨径悬索桥监测内容宜按表4.2.</w:t>
      </w:r>
      <w:r>
        <w:t>7</w:t>
      </w:r>
      <w:r>
        <w:rPr>
          <w:rFonts w:hint="eastAsia"/>
        </w:rPr>
        <w:t>选择相应监测内容。</w:t>
      </w:r>
    </w:p>
    <w:tbl>
      <w:tblPr>
        <w:tblStyle w:val="43"/>
        <w:tblW w:w="8306" w:type="dxa"/>
        <w:tblInd w:w="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835"/>
        <w:gridCol w:w="1666"/>
        <w:gridCol w:w="4234"/>
        <w:gridCol w:w="1571"/>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blHeader/>
        </w:trPr>
        <w:tc>
          <w:tcPr>
            <w:tcW w:w="8306" w:type="dxa"/>
            <w:gridSpan w:val="4"/>
            <w:tcBorders>
              <w:top w:val="nil"/>
              <w:left w:val="nil"/>
              <w:bottom w:val="single" w:color="auto" w:sz="4" w:space="0"/>
              <w:right w:val="nil"/>
            </w:tcBorders>
            <w:vAlign w:val="center"/>
          </w:tcPr>
          <w:p>
            <w:pPr>
              <w:pStyle w:val="38"/>
              <w:widowControl w:val="0"/>
              <w:autoSpaceDE w:val="0"/>
              <w:autoSpaceDN w:val="0"/>
              <w:rPr>
                <w:b/>
                <w:lang w:eastAsia="en-US"/>
              </w:rPr>
            </w:pPr>
            <w:r>
              <w:rPr>
                <w:rFonts w:hint="eastAsia"/>
                <w:lang w:eastAsia="en-US"/>
              </w:rPr>
              <w:t xml:space="preserve">表 </w:t>
            </w:r>
            <w:r>
              <w:rPr>
                <w:lang w:eastAsia="en-US"/>
              </w:rPr>
              <w:fldChar w:fldCharType="begin"/>
            </w:r>
            <w:r>
              <w:rPr>
                <w:lang w:eastAsia="en-US"/>
              </w:rPr>
              <w:instrText xml:space="preserve"> </w:instrText>
            </w:r>
            <w:r>
              <w:rPr>
                <w:rFonts w:hint="eastAsia"/>
                <w:lang w:eastAsia="en-US"/>
              </w:rPr>
              <w:instrText xml:space="preserve">STYLEREF 3 \s</w:instrText>
            </w:r>
            <w:r>
              <w:rPr>
                <w:lang w:eastAsia="en-US"/>
              </w:rPr>
              <w:instrText xml:space="preserve"> </w:instrText>
            </w:r>
            <w:r>
              <w:rPr>
                <w:lang w:eastAsia="en-US"/>
              </w:rPr>
              <w:fldChar w:fldCharType="separate"/>
            </w:r>
            <w:r>
              <w:rPr>
                <w:lang w:eastAsia="en-US"/>
              </w:rPr>
              <w:t>4.2.7</w:t>
            </w:r>
            <w:r>
              <w:rPr>
                <w:lang w:eastAsia="en-US"/>
              </w:rPr>
              <w:fldChar w:fldCharType="end"/>
            </w:r>
            <w:r>
              <w:rPr>
                <w:lang w:eastAsia="en-US"/>
              </w:rPr>
              <w:t xml:space="preserve"> </w:t>
            </w:r>
            <w:r>
              <w:rPr>
                <w:rFonts w:hint="eastAsia"/>
                <w:lang w:eastAsia="en-US"/>
              </w:rPr>
              <w:t>悬索桥监测内容</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blHeader/>
        </w:trPr>
        <w:tc>
          <w:tcPr>
            <w:tcW w:w="2501" w:type="dxa"/>
            <w:gridSpan w:val="2"/>
            <w:tcBorders>
              <w:top w:val="single" w:color="auto" w:sz="4" w:space="0"/>
              <w:right w:val="single" w:color="231F20" w:sz="4" w:space="0"/>
            </w:tcBorders>
            <w:vAlign w:val="center"/>
          </w:tcPr>
          <w:p>
            <w:pPr>
              <w:autoSpaceDE w:val="0"/>
              <w:autoSpaceDN w:val="0"/>
              <w:spacing w:before="32" w:line="288" w:lineRule="exact"/>
              <w:ind w:firstLine="0" w:firstLineChars="0"/>
              <w:jc w:val="center"/>
              <w:rPr>
                <w:rFonts w:ascii="宋体" w:hAnsi="宋体" w:cs="华光书宋_CNKI"/>
                <w:b/>
                <w:w w:val="105"/>
                <w:kern w:val="0"/>
                <w:sz w:val="21"/>
                <w:szCs w:val="21"/>
                <w:lang w:eastAsia="en-US"/>
              </w:rPr>
            </w:pPr>
            <w:r>
              <w:rPr>
                <w:rFonts w:ascii="宋体" w:hAnsi="宋体" w:cs="华光书宋_CNKI"/>
                <w:b/>
                <w:w w:val="105"/>
                <w:kern w:val="0"/>
                <w:sz w:val="21"/>
                <w:szCs w:val="21"/>
                <w:lang w:eastAsia="en-US"/>
              </w:rPr>
              <w:t>监测类别</w:t>
            </w:r>
          </w:p>
        </w:tc>
        <w:tc>
          <w:tcPr>
            <w:tcW w:w="4234" w:type="dxa"/>
            <w:tcBorders>
              <w:top w:val="single" w:color="auto" w:sz="4" w:space="0"/>
              <w:left w:val="single" w:color="231F20" w:sz="4" w:space="0"/>
              <w:right w:val="single" w:color="231F20" w:sz="4" w:space="0"/>
            </w:tcBorders>
            <w:vAlign w:val="center"/>
          </w:tcPr>
          <w:p>
            <w:pPr>
              <w:autoSpaceDE w:val="0"/>
              <w:autoSpaceDN w:val="0"/>
              <w:spacing w:before="32" w:line="288" w:lineRule="exact"/>
              <w:ind w:right="104" w:firstLine="0" w:firstLineChars="0"/>
              <w:jc w:val="center"/>
              <w:rPr>
                <w:rFonts w:ascii="宋体" w:hAnsi="宋体" w:cs="华光书宋_CNKI"/>
                <w:b/>
                <w:w w:val="105"/>
                <w:kern w:val="0"/>
                <w:sz w:val="21"/>
                <w:szCs w:val="21"/>
                <w:lang w:eastAsia="en-US"/>
              </w:rPr>
            </w:pPr>
            <w:r>
              <w:rPr>
                <w:rFonts w:ascii="宋体" w:hAnsi="宋体" w:cs="华光书宋_CNKI"/>
                <w:b/>
                <w:w w:val="105"/>
                <w:kern w:val="0"/>
                <w:sz w:val="21"/>
                <w:szCs w:val="21"/>
                <w:lang w:eastAsia="en-US"/>
              </w:rPr>
              <w:t>监 测 内 容</w:t>
            </w:r>
          </w:p>
        </w:tc>
        <w:tc>
          <w:tcPr>
            <w:tcW w:w="1571" w:type="dxa"/>
            <w:tcBorders>
              <w:top w:val="single" w:color="auto" w:sz="4" w:space="0"/>
              <w:left w:val="single" w:color="231F20" w:sz="4" w:space="0"/>
            </w:tcBorders>
            <w:vAlign w:val="center"/>
          </w:tcPr>
          <w:p>
            <w:pPr>
              <w:autoSpaceDE w:val="0"/>
              <w:autoSpaceDN w:val="0"/>
              <w:spacing w:before="32" w:line="288" w:lineRule="exact"/>
              <w:ind w:right="104" w:firstLine="0" w:firstLineChars="0"/>
              <w:jc w:val="center"/>
              <w:rPr>
                <w:rFonts w:ascii="宋体" w:hAnsi="宋体" w:cs="华光书宋_CNKI"/>
                <w:b/>
                <w:kern w:val="0"/>
                <w:sz w:val="21"/>
                <w:szCs w:val="21"/>
                <w:lang w:eastAsia="en-US"/>
              </w:rPr>
            </w:pPr>
            <w:r>
              <w:rPr>
                <w:rFonts w:hint="eastAsia" w:ascii="宋体" w:hAnsi="宋体" w:cs="华光书宋_CNKI"/>
                <w:b/>
                <w:kern w:val="0"/>
                <w:sz w:val="21"/>
                <w:szCs w:val="21"/>
                <w:lang w:eastAsia="en-US"/>
              </w:rPr>
              <w:t>监测选项</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restart"/>
            <w:tcBorders>
              <w:right w:val="single" w:color="231F20" w:sz="4" w:space="0"/>
            </w:tcBorders>
            <w:vAlign w:val="center"/>
          </w:tcPr>
          <w:p>
            <w:pPr>
              <w:autoSpaceDE w:val="0"/>
              <w:autoSpaceDN w:val="0"/>
              <w:spacing w:before="1"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环境</w:t>
            </w:r>
          </w:p>
        </w:tc>
        <w:tc>
          <w:tcPr>
            <w:tcW w:w="1666" w:type="dxa"/>
            <w:vMerge w:val="restart"/>
            <w:tcBorders>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温度</w:t>
            </w:r>
            <w:r>
              <w:rPr>
                <w:rFonts w:hint="eastAsia" w:ascii="宋体" w:hAnsi="宋体" w:cs="华光书宋_CNKI"/>
                <w:w w:val="105"/>
                <w:kern w:val="0"/>
                <w:sz w:val="21"/>
                <w:szCs w:val="21"/>
                <w:lang w:eastAsia="en-US"/>
              </w:rPr>
              <w:t>、</w:t>
            </w:r>
            <w:r>
              <w:rPr>
                <w:rFonts w:ascii="宋体" w:hAnsi="宋体" w:cs="华光书宋_CNKI"/>
                <w:w w:val="105"/>
                <w:kern w:val="0"/>
                <w:sz w:val="21"/>
                <w:szCs w:val="21"/>
                <w:lang w:eastAsia="en-US"/>
              </w:rPr>
              <w:t>湿度</w:t>
            </w:r>
          </w:p>
        </w:tc>
        <w:tc>
          <w:tcPr>
            <w:tcW w:w="4234" w:type="dxa"/>
            <w:tcBorders>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zh-CN"/>
              </w:rPr>
              <w:t>桥址区环境温度</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湿度</w:t>
            </w:r>
          </w:p>
        </w:tc>
        <w:tc>
          <w:tcPr>
            <w:tcW w:w="1571" w:type="dxa"/>
            <w:tcBorders>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zh-CN"/>
              </w:rPr>
            </w:pPr>
            <w:r>
              <w:rPr>
                <w:rFonts w:hint="eastAsia" w:ascii="宋体" w:hAnsi="宋体" w:cs="华光书宋_CNKI"/>
                <w:w w:val="105"/>
                <w:kern w:val="0"/>
                <w:sz w:val="21"/>
                <w:szCs w:val="21"/>
                <w:lang w:eastAsia="zh-CN"/>
              </w:rPr>
              <w:t>封闭箱梁</w:t>
            </w:r>
            <w:r>
              <w:rPr>
                <w:rFonts w:ascii="宋体" w:hAnsi="宋体" w:cs="华光书宋_CNKI"/>
                <w:w w:val="105"/>
                <w:kern w:val="0"/>
                <w:sz w:val="21"/>
                <w:szCs w:val="21"/>
                <w:lang w:eastAsia="zh-CN"/>
              </w:rPr>
              <w:t>内温度</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湿度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主缆内温度</w:t>
            </w:r>
            <w:r>
              <w:rPr>
                <w:rFonts w:hint="eastAsia" w:ascii="宋体" w:hAnsi="宋体" w:cs="华光书宋_CNKI"/>
                <w:w w:val="105"/>
                <w:kern w:val="0"/>
                <w:sz w:val="21"/>
                <w:szCs w:val="21"/>
                <w:lang w:eastAsia="en-US"/>
              </w:rPr>
              <w:t>、</w:t>
            </w:r>
            <w:r>
              <w:rPr>
                <w:rFonts w:ascii="宋体" w:hAnsi="宋体" w:cs="华光书宋_CNKI"/>
                <w:w w:val="105"/>
                <w:kern w:val="0"/>
                <w:sz w:val="21"/>
                <w:szCs w:val="21"/>
                <w:lang w:eastAsia="en-US"/>
              </w:rPr>
              <w:t>湿度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锚室内温度</w:t>
            </w:r>
            <w:r>
              <w:rPr>
                <w:rFonts w:hint="eastAsia" w:ascii="宋体" w:hAnsi="宋体" w:cs="华光书宋_CNKI"/>
                <w:w w:val="105"/>
                <w:kern w:val="0"/>
                <w:sz w:val="21"/>
                <w:szCs w:val="21"/>
                <w:lang w:eastAsia="en-US"/>
              </w:rPr>
              <w:t>、</w:t>
            </w:r>
            <w:r>
              <w:rPr>
                <w:rFonts w:ascii="宋体" w:hAnsi="宋体" w:cs="华光书宋_CNKI"/>
                <w:w w:val="105"/>
                <w:kern w:val="0"/>
                <w:sz w:val="21"/>
                <w:szCs w:val="21"/>
                <w:lang w:eastAsia="en-US"/>
              </w:rPr>
              <w:t>湿度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鞍罩内温度</w:t>
            </w:r>
            <w:r>
              <w:rPr>
                <w:rFonts w:hint="eastAsia" w:ascii="宋体" w:hAnsi="宋体" w:cs="华光书宋_CNKI"/>
                <w:w w:val="105"/>
                <w:kern w:val="0"/>
                <w:sz w:val="21"/>
                <w:szCs w:val="21"/>
                <w:lang w:eastAsia="en-US"/>
              </w:rPr>
              <w:t>、</w:t>
            </w:r>
            <w:r>
              <w:rPr>
                <w:rFonts w:ascii="宋体" w:hAnsi="宋体" w:cs="华光书宋_CNKI"/>
                <w:w w:val="105"/>
                <w:kern w:val="0"/>
                <w:sz w:val="21"/>
                <w:szCs w:val="21"/>
                <w:lang w:eastAsia="en-US"/>
              </w:rPr>
              <w:t>湿度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索塔内温度</w:t>
            </w:r>
            <w:r>
              <w:rPr>
                <w:rFonts w:hint="eastAsia" w:ascii="宋体" w:hAnsi="宋体" w:cs="华光书宋_CNKI"/>
                <w:w w:val="105"/>
                <w:kern w:val="0"/>
                <w:sz w:val="21"/>
                <w:szCs w:val="21"/>
                <w:lang w:eastAsia="en-US"/>
              </w:rPr>
              <w:t>、</w:t>
            </w:r>
            <w:r>
              <w:rPr>
                <w:rFonts w:ascii="宋体" w:hAnsi="宋体" w:cs="华光书宋_CNKI"/>
                <w:w w:val="105"/>
                <w:kern w:val="0"/>
                <w:sz w:val="21"/>
                <w:szCs w:val="21"/>
                <w:lang w:eastAsia="en-US"/>
              </w:rPr>
              <w:t>湿度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tcBorders>
              <w:top w:val="nil"/>
              <w:left w:val="single" w:color="231F20" w:sz="4" w:space="0"/>
              <w:bottom w:val="single" w:color="231F20" w:sz="4" w:space="0"/>
              <w:right w:val="single" w:color="231F20" w:sz="4" w:space="0"/>
            </w:tcBorders>
            <w:vAlign w:val="center"/>
          </w:tcPr>
          <w:p>
            <w:pPr>
              <w:autoSpaceDE w:val="0"/>
              <w:autoSpaceDN w:val="0"/>
              <w:spacing w:before="27" w:line="283" w:lineRule="exact"/>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结冰</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桥面结冰</w:t>
            </w:r>
            <w:r>
              <w:rPr>
                <w:rFonts w:hint="eastAsia" w:ascii="宋体" w:hAnsi="宋体" w:cs="华光书宋_CNKI"/>
                <w:w w:val="105"/>
                <w:kern w:val="0"/>
                <w:sz w:val="21"/>
                <w:szCs w:val="21"/>
                <w:lang w:eastAsia="en-US"/>
              </w:rPr>
              <w:t>、</w:t>
            </w:r>
            <w:r>
              <w:rPr>
                <w:rFonts w:ascii="宋体" w:hAnsi="宋体" w:cs="华光书宋_CNKI"/>
                <w:w w:val="105"/>
                <w:kern w:val="0"/>
                <w:sz w:val="21"/>
                <w:szCs w:val="21"/>
                <w:lang w:eastAsia="en-US"/>
              </w:rPr>
              <w:t>主缆结冰</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tcBorders>
              <w:top w:val="single" w:color="231F20" w:sz="4" w:space="0"/>
              <w:left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雾</w:t>
            </w:r>
          </w:p>
        </w:tc>
        <w:tc>
          <w:tcPr>
            <w:tcW w:w="4234" w:type="dxa"/>
            <w:tcBorders>
              <w:top w:val="single" w:color="231F20" w:sz="4" w:space="0"/>
              <w:left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桥面能见度</w:t>
            </w:r>
          </w:p>
        </w:tc>
        <w:tc>
          <w:tcPr>
            <w:tcW w:w="1571" w:type="dxa"/>
            <w:tcBorders>
              <w:top w:val="single" w:color="231F20" w:sz="4" w:space="0"/>
              <w:lef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restart"/>
            <w:tcBorders>
              <w:top w:val="single" w:color="231F20" w:sz="4" w:space="0"/>
              <w:bottom w:val="single" w:color="231F20" w:sz="4" w:space="0"/>
              <w:right w:val="single" w:color="231F20" w:sz="4" w:space="0"/>
            </w:tcBorders>
            <w:vAlign w:val="center"/>
          </w:tcPr>
          <w:p>
            <w:pPr>
              <w:autoSpaceDE w:val="0"/>
              <w:autoSpaceDN w:val="0"/>
              <w:spacing w:before="1"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作用</w:t>
            </w:r>
          </w:p>
        </w:tc>
        <w:tc>
          <w:tcPr>
            <w:tcW w:w="1666" w:type="dxa"/>
            <w:vMerge w:val="restart"/>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车辆荷载</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zh-CN"/>
              </w:rPr>
              <w:t>所有车道车重</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轴重</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轴数</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车速</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所有车道车流量</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zh-CN"/>
              </w:rPr>
              <w:t>所有车道的车辆空间分布视频图像</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tcBorders>
              <w:top w:val="nil"/>
              <w:left w:val="single" w:color="231F20" w:sz="4" w:space="0"/>
              <w:bottom w:val="single" w:color="231F20" w:sz="4" w:space="0"/>
              <w:right w:val="single" w:color="231F20" w:sz="4" w:space="0"/>
            </w:tcBorders>
            <w:vAlign w:val="center"/>
          </w:tcPr>
          <w:p>
            <w:pPr>
              <w:autoSpaceDE w:val="0"/>
              <w:autoSpaceDN w:val="0"/>
              <w:spacing w:before="1" w:line="240" w:lineRule="auto"/>
              <w:ind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人群</w:t>
            </w:r>
            <w:r>
              <w:rPr>
                <w:rFonts w:ascii="宋体" w:hAnsi="宋体" w:cs="华光书宋_CNKI"/>
                <w:w w:val="105"/>
                <w:kern w:val="0"/>
                <w:sz w:val="21"/>
                <w:szCs w:val="21"/>
                <w:lang w:eastAsia="en-US"/>
              </w:rPr>
              <w:t>荷载</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人流量</w:t>
            </w:r>
          </w:p>
        </w:tc>
        <w:tc>
          <w:tcPr>
            <w:tcW w:w="1571"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vMerge w:val="restart"/>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209" w:line="240" w:lineRule="auto"/>
              <w:ind w:firstLine="0" w:firstLineChars="0"/>
              <w:jc w:val="center"/>
              <w:rPr>
                <w:rFonts w:ascii="宋体" w:hAnsi="宋体" w:cs="华光书宋_CNKI"/>
                <w:kern w:val="0"/>
                <w:sz w:val="21"/>
                <w:szCs w:val="21"/>
                <w:lang w:eastAsia="en-US"/>
              </w:rPr>
            </w:pPr>
            <w:r>
              <w:rPr>
                <w:rFonts w:ascii="宋体" w:hAnsi="宋体" w:cs="华光书宋_CNKI"/>
                <w:kern w:val="0"/>
                <w:sz w:val="21"/>
                <w:szCs w:val="21"/>
                <w:lang w:eastAsia="en-US"/>
              </w:rPr>
              <w:t>风速</w:t>
            </w:r>
            <w:r>
              <w:rPr>
                <w:rFonts w:hint="eastAsia" w:ascii="宋体" w:hAnsi="宋体" w:cs="华光书宋_CNKI"/>
                <w:w w:val="80"/>
                <w:kern w:val="0"/>
                <w:sz w:val="21"/>
                <w:szCs w:val="21"/>
                <w:lang w:eastAsia="en-US"/>
              </w:rPr>
              <w:t>、</w:t>
            </w:r>
            <w:r>
              <w:rPr>
                <w:rFonts w:ascii="宋体" w:hAnsi="宋体" w:cs="华光书宋_CNKI"/>
                <w:kern w:val="0"/>
                <w:sz w:val="21"/>
                <w:szCs w:val="21"/>
                <w:lang w:eastAsia="en-US"/>
              </w:rPr>
              <w:t>风向</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桥面风速</w:t>
            </w:r>
            <w:r>
              <w:rPr>
                <w:rFonts w:hint="eastAsia" w:ascii="宋体" w:hAnsi="宋体" w:cs="华光书宋_CNKI"/>
                <w:w w:val="105"/>
                <w:kern w:val="0"/>
                <w:sz w:val="21"/>
                <w:szCs w:val="21"/>
                <w:lang w:eastAsia="en-US"/>
              </w:rPr>
              <w:t>、</w:t>
            </w:r>
            <w:r>
              <w:rPr>
                <w:rFonts w:ascii="宋体" w:hAnsi="宋体" w:cs="华光书宋_CNKI"/>
                <w:w w:val="105"/>
                <w:kern w:val="0"/>
                <w:sz w:val="21"/>
                <w:szCs w:val="21"/>
                <w:lang w:eastAsia="en-US"/>
              </w:rPr>
              <w:t>风向</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塔顶风速</w:t>
            </w:r>
            <w:r>
              <w:rPr>
                <w:rFonts w:hint="eastAsia" w:ascii="宋体" w:hAnsi="宋体" w:cs="华光书宋_CNKI"/>
                <w:w w:val="105"/>
                <w:kern w:val="0"/>
                <w:sz w:val="21"/>
                <w:szCs w:val="21"/>
                <w:lang w:eastAsia="en-US"/>
              </w:rPr>
              <w:t>、</w:t>
            </w:r>
            <w:r>
              <w:rPr>
                <w:rFonts w:ascii="宋体" w:hAnsi="宋体" w:cs="华光书宋_CNKI"/>
                <w:w w:val="105"/>
                <w:kern w:val="0"/>
                <w:sz w:val="21"/>
                <w:szCs w:val="21"/>
                <w:lang w:eastAsia="en-US"/>
              </w:rPr>
              <w:t>风向</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风压</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主梁风压</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结构温度</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zh-CN"/>
              </w:rPr>
              <w:t>混凝土或钢结构构件温度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vMerge w:val="restart"/>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船舶撞击</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桥墩加速度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视频图像</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vMerge w:val="restart"/>
            <w:tcBorders>
              <w:top w:val="nil"/>
              <w:left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hint="eastAsia" w:ascii="宋体" w:hAnsi="宋体" w:cs="华光书宋_CNKI"/>
                <w:w w:val="105"/>
                <w:kern w:val="0"/>
                <w:sz w:val="21"/>
                <w:szCs w:val="21"/>
                <w:lang w:eastAsia="en-US"/>
              </w:rPr>
              <w:t>车辆</w:t>
            </w:r>
            <w:r>
              <w:rPr>
                <w:rFonts w:ascii="宋体" w:hAnsi="宋体" w:cs="华光书宋_CNKI"/>
                <w:w w:val="105"/>
                <w:kern w:val="0"/>
                <w:sz w:val="21"/>
                <w:szCs w:val="21"/>
                <w:lang w:eastAsia="en-US"/>
              </w:rPr>
              <w:t>撞击</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桥墩加速度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vMerge w:val="continue"/>
            <w:tcBorders>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视频图像</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vMerge w:val="restart"/>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地震</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桥岸地表场地加速度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zh-CN"/>
              </w:rPr>
              <w:t>承台顶或桥墩底部加速度</w:t>
            </w:r>
          </w:p>
          <w:p>
            <w:pPr>
              <w:autoSpaceDE w:val="0"/>
              <w:autoSpaceDN w:val="0"/>
              <w:spacing w:before="37" w:line="297" w:lineRule="exact"/>
              <w:ind w:right="104" w:firstLine="0" w:firstLineChars="0"/>
              <w:jc w:val="center"/>
              <w:rPr>
                <w:rFonts w:ascii="宋体" w:hAnsi="宋体" w:cs="华光书宋_CNKI"/>
                <w:w w:val="105"/>
                <w:kern w:val="0"/>
                <w:sz w:val="21"/>
                <w:szCs w:val="21"/>
                <w:lang w:eastAsia="zh-CN"/>
              </w:rPr>
            </w:pPr>
            <w:r>
              <w:rPr>
                <w:rFonts w:hint="eastAsia" w:ascii="宋体" w:hAnsi="宋体" w:cs="华光书宋_CNKI"/>
                <w:w w:val="105"/>
                <w:kern w:val="0"/>
                <w:sz w:val="21"/>
                <w:szCs w:val="21"/>
                <w:lang w:eastAsia="zh-CN"/>
              </w:rPr>
              <w:t xml:space="preserve">（ </w:t>
            </w:r>
            <w:r>
              <w:rPr>
                <w:rFonts w:ascii="宋体" w:hAnsi="宋体" w:cs="华光书宋_CNKI"/>
                <w:w w:val="105"/>
                <w:kern w:val="0"/>
                <w:sz w:val="21"/>
                <w:szCs w:val="21"/>
                <w:lang w:eastAsia="zh-CN"/>
              </w:rPr>
              <w:t>抗震设防烈度为</w:t>
            </w:r>
            <w:r>
              <w:rPr>
                <w:rFonts w:hint="eastAsia" w:ascii="宋体" w:hAnsi="宋体" w:cs="华光书宋_CNKI"/>
                <w:w w:val="105"/>
                <w:kern w:val="0"/>
                <w:sz w:val="21"/>
                <w:szCs w:val="21"/>
                <w:lang w:eastAsia="zh-CN"/>
              </w:rPr>
              <w:t>7</w:t>
            </w:r>
            <w:r>
              <w:rPr>
                <w:rFonts w:ascii="宋体" w:hAnsi="宋体" w:cs="华光书宋_CNKI"/>
                <w:w w:val="105"/>
                <w:kern w:val="0"/>
                <w:sz w:val="21"/>
                <w:szCs w:val="21"/>
                <w:lang w:eastAsia="zh-CN"/>
              </w:rPr>
              <w:t>度及以上</w:t>
            </w:r>
            <w:r>
              <w:rPr>
                <w:rFonts w:hint="eastAsia" w:ascii="宋体" w:hAnsi="宋体" w:cs="华光书宋_CNKI"/>
                <w:w w:val="105"/>
                <w:kern w:val="0"/>
                <w:sz w:val="21"/>
                <w:szCs w:val="21"/>
                <w:lang w:eastAsia="zh-CN"/>
              </w:rPr>
              <w:t>）</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bottom w:val="single" w:color="231F20" w:sz="4" w:space="0"/>
              <w:right w:val="single" w:color="231F20" w:sz="4" w:space="0"/>
            </w:tcBorders>
            <w:vAlign w:val="center"/>
          </w:tcPr>
          <w:p>
            <w:pPr>
              <w:autoSpaceDE w:val="0"/>
              <w:autoSpaceDN w:val="0"/>
              <w:spacing w:before="1" w:line="240" w:lineRule="auto"/>
              <w:ind w:firstLine="441" w:firstLineChars="0"/>
              <w:jc w:val="center"/>
              <w:rPr>
                <w:rFonts w:ascii="宋体" w:hAnsi="宋体" w:cs="华光书宋_CNKI"/>
                <w:w w:val="105"/>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zh-CN"/>
              </w:rPr>
              <w:t>承台顶或桥墩底部加速度</w:t>
            </w:r>
          </w:p>
          <w:p>
            <w:pPr>
              <w:autoSpaceDE w:val="0"/>
              <w:autoSpaceDN w:val="0"/>
              <w:spacing w:before="37" w:line="297" w:lineRule="exact"/>
              <w:ind w:right="104" w:firstLine="0" w:firstLineChars="0"/>
              <w:jc w:val="center"/>
              <w:rPr>
                <w:rFonts w:ascii="宋体" w:hAnsi="宋体" w:cs="华光书宋_CNKI"/>
                <w:w w:val="105"/>
                <w:kern w:val="0"/>
                <w:sz w:val="21"/>
                <w:szCs w:val="21"/>
                <w:lang w:eastAsia="zh-CN"/>
              </w:rPr>
            </w:pPr>
            <w:r>
              <w:rPr>
                <w:rFonts w:hint="eastAsia" w:ascii="宋体" w:hAnsi="宋体" w:cs="华光书宋_CNKI"/>
                <w:w w:val="105"/>
                <w:kern w:val="0"/>
                <w:sz w:val="21"/>
                <w:szCs w:val="21"/>
                <w:lang w:eastAsia="zh-CN"/>
              </w:rPr>
              <w:t xml:space="preserve">（ </w:t>
            </w:r>
            <w:r>
              <w:rPr>
                <w:rFonts w:ascii="宋体" w:hAnsi="宋体" w:cs="华光书宋_CNKI"/>
                <w:w w:val="105"/>
                <w:kern w:val="0"/>
                <w:sz w:val="21"/>
                <w:szCs w:val="21"/>
                <w:lang w:eastAsia="zh-CN"/>
              </w:rPr>
              <w:t>抗震设防烈度为</w:t>
            </w:r>
            <w:r>
              <w:rPr>
                <w:rFonts w:hint="eastAsia" w:ascii="宋体" w:hAnsi="宋体" w:cs="华光书宋_CNKI"/>
                <w:w w:val="105"/>
                <w:kern w:val="0"/>
                <w:sz w:val="21"/>
                <w:szCs w:val="21"/>
                <w:lang w:eastAsia="zh-CN"/>
              </w:rPr>
              <w:t>7</w:t>
            </w:r>
            <w:r>
              <w:rPr>
                <w:rFonts w:ascii="宋体" w:hAnsi="宋体" w:cs="华光书宋_CNKI"/>
                <w:w w:val="105"/>
                <w:kern w:val="0"/>
                <w:sz w:val="21"/>
                <w:szCs w:val="21"/>
                <w:lang w:eastAsia="zh-CN"/>
              </w:rPr>
              <w:t>度以下</w:t>
            </w:r>
            <w:r>
              <w:rPr>
                <w:rFonts w:hint="eastAsia" w:ascii="宋体" w:hAnsi="宋体" w:cs="华光书宋_CNKI"/>
                <w:w w:val="105"/>
                <w:kern w:val="0"/>
                <w:sz w:val="21"/>
                <w:szCs w:val="21"/>
                <w:lang w:eastAsia="zh-CN"/>
              </w:rPr>
              <w:t>）</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restart"/>
            <w:tcBorders>
              <w:top w:val="single" w:color="231F20" w:sz="4" w:space="0"/>
              <w:right w:val="single" w:color="231F20" w:sz="4" w:space="0"/>
            </w:tcBorders>
            <w:vAlign w:val="center"/>
          </w:tcPr>
          <w:p>
            <w:pPr>
              <w:autoSpaceDE w:val="0"/>
              <w:autoSpaceDN w:val="0"/>
              <w:spacing w:before="1"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结构</w:t>
            </w:r>
          </w:p>
          <w:p>
            <w:pPr>
              <w:autoSpaceDE w:val="0"/>
              <w:autoSpaceDN w:val="0"/>
              <w:spacing w:before="1"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响应</w:t>
            </w:r>
          </w:p>
        </w:tc>
        <w:tc>
          <w:tcPr>
            <w:tcW w:w="1666" w:type="dxa"/>
            <w:vMerge w:val="restart"/>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位移</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主梁竖向位移</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主梁横向位移</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支座位移</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梁端纵向位移</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塔顶偏位</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主缆偏位</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restart"/>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转角</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塔顶转角</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梁端水平转角</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梁端竖向转角</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restart"/>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应变</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主梁关键截面应变</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索塔关键截面应变</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restart"/>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索力</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吊索索力</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锚跨索股力</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2" w:line="288" w:lineRule="exact"/>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支座反力</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支座反力</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restart"/>
            <w:tcBorders>
              <w:top w:val="single" w:color="231F20" w:sz="4" w:space="0"/>
              <w:left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振动</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主梁竖向振动加速度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continue"/>
            <w:tcBorders>
              <w:top w:val="single" w:color="231F20" w:sz="4" w:space="0"/>
              <w:left w:val="single" w:color="231F20" w:sz="4" w:space="0"/>
              <w:right w:val="single" w:color="231F20" w:sz="4" w:space="0"/>
            </w:tcBorders>
            <w:vAlign w:val="center"/>
          </w:tcPr>
          <w:p>
            <w:pPr>
              <w:autoSpaceDE w:val="0"/>
              <w:autoSpaceDN w:val="0"/>
              <w:spacing w:line="240" w:lineRule="auto"/>
              <w:ind w:left="16" w:firstLine="441" w:firstLineChars="0"/>
              <w:jc w:val="center"/>
              <w:rPr>
                <w:rFonts w:ascii="宋体" w:hAnsi="宋体" w:cs="华光书宋_CNKI"/>
                <w:w w:val="105"/>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视频图像</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continue"/>
            <w:tcBorders>
              <w:top w:val="nil"/>
              <w:left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主梁横向振动加速度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continue"/>
            <w:tcBorders>
              <w:top w:val="nil"/>
              <w:left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主梁纵向振动加速度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continue"/>
            <w:tcBorders>
              <w:top w:val="nil"/>
              <w:left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zh-CN"/>
              </w:rPr>
              <w:t>塔顶水平双向振动加速度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continue"/>
            <w:tcBorders>
              <w:top w:val="nil"/>
              <w:left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吊索振动加速度</w:t>
            </w:r>
          </w:p>
        </w:tc>
        <w:tc>
          <w:tcPr>
            <w:tcW w:w="1571" w:type="dxa"/>
            <w:tcBorders>
              <w:top w:val="single" w:color="231F20" w:sz="4" w:space="0"/>
              <w:lef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restart"/>
            <w:tcBorders>
              <w:right w:val="single" w:color="231F20" w:sz="4" w:space="0"/>
            </w:tcBorders>
            <w:vAlign w:val="center"/>
          </w:tcPr>
          <w:p>
            <w:pPr>
              <w:autoSpaceDE w:val="0"/>
              <w:autoSpaceDN w:val="0"/>
              <w:spacing w:before="1"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结构</w:t>
            </w:r>
          </w:p>
          <w:p>
            <w:pPr>
              <w:autoSpaceDE w:val="0"/>
              <w:autoSpaceDN w:val="0"/>
              <w:spacing w:before="1"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变化</w:t>
            </w:r>
          </w:p>
        </w:tc>
        <w:tc>
          <w:tcPr>
            <w:tcW w:w="1666" w:type="dxa"/>
            <w:tcBorders>
              <w:left w:val="single" w:color="231F20" w:sz="4" w:space="0"/>
              <w:bottom w:val="single" w:color="231F20" w:sz="4" w:space="0"/>
              <w:right w:val="single" w:color="231F20" w:sz="4" w:space="0"/>
            </w:tcBorders>
            <w:vAlign w:val="center"/>
          </w:tcPr>
          <w:p>
            <w:pPr>
              <w:autoSpaceDE w:val="0"/>
              <w:autoSpaceDN w:val="0"/>
              <w:spacing w:before="32" w:line="288" w:lineRule="exact"/>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基础冲刷</w:t>
            </w:r>
          </w:p>
        </w:tc>
        <w:tc>
          <w:tcPr>
            <w:tcW w:w="4234" w:type="dxa"/>
            <w:tcBorders>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基础冲刷深度</w:t>
            </w:r>
          </w:p>
        </w:tc>
        <w:tc>
          <w:tcPr>
            <w:tcW w:w="1571" w:type="dxa"/>
            <w:tcBorders>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2" w:line="288" w:lineRule="exact"/>
              <w:ind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基础</w:t>
            </w:r>
            <w:r>
              <w:rPr>
                <w:rFonts w:ascii="宋体" w:hAnsi="宋体" w:cs="华光书宋_CNKI"/>
                <w:w w:val="105"/>
                <w:kern w:val="0"/>
                <w:sz w:val="21"/>
                <w:szCs w:val="21"/>
                <w:lang w:eastAsia="en-US"/>
              </w:rPr>
              <w:t>沉降</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基础</w:t>
            </w:r>
            <w:r>
              <w:rPr>
                <w:rFonts w:hint="eastAsia" w:ascii="宋体" w:hAnsi="宋体" w:cs="华光书宋_CNKI"/>
                <w:w w:val="105"/>
                <w:kern w:val="0"/>
                <w:sz w:val="21"/>
                <w:szCs w:val="21"/>
                <w:lang w:eastAsia="en-US"/>
              </w:rPr>
              <w:t>沉降量</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88" w:lineRule="exact"/>
              <w:ind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线形</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zh-CN"/>
              </w:rPr>
            </w:pPr>
            <w:r>
              <w:rPr>
                <w:rFonts w:hint="eastAsia" w:ascii="宋体" w:hAnsi="宋体" w:cs="华光书宋_CNKI"/>
                <w:w w:val="105"/>
                <w:kern w:val="0"/>
                <w:sz w:val="21"/>
                <w:szCs w:val="21"/>
                <w:lang w:eastAsia="zh-CN"/>
              </w:rPr>
              <w:t>主梁竖向</w:t>
            </w:r>
            <w:r>
              <w:rPr>
                <w:rFonts w:ascii="宋体" w:hAnsi="宋体" w:cs="华光书宋_CNKI"/>
                <w:w w:val="105"/>
                <w:kern w:val="0"/>
                <w:sz w:val="21"/>
                <w:szCs w:val="21"/>
                <w:lang w:eastAsia="zh-CN"/>
              </w:rPr>
              <w:t>线形</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主</w:t>
            </w:r>
            <w:r>
              <w:rPr>
                <w:rFonts w:hint="eastAsia" w:ascii="宋体" w:hAnsi="宋体" w:cs="华光书宋_CNKI"/>
                <w:w w:val="105"/>
                <w:kern w:val="0"/>
                <w:sz w:val="21"/>
                <w:szCs w:val="21"/>
                <w:lang w:eastAsia="zh-CN"/>
              </w:rPr>
              <w:t>缆</w:t>
            </w:r>
            <w:r>
              <w:rPr>
                <w:rFonts w:ascii="宋体" w:hAnsi="宋体" w:cs="华光书宋_CNKI"/>
                <w:w w:val="105"/>
                <w:kern w:val="0"/>
                <w:sz w:val="21"/>
                <w:szCs w:val="21"/>
                <w:lang w:eastAsia="zh-CN"/>
              </w:rPr>
              <w:t>线形</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索塔</w:t>
            </w:r>
            <w:r>
              <w:rPr>
                <w:rFonts w:hint="eastAsia" w:ascii="宋体" w:hAnsi="宋体" w:cs="华光书宋_CNKI"/>
                <w:w w:val="105"/>
                <w:kern w:val="0"/>
                <w:sz w:val="21"/>
                <w:szCs w:val="21"/>
                <w:lang w:eastAsia="zh-CN"/>
              </w:rPr>
              <w:t>线形</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2" w:line="288" w:lineRule="exact"/>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位移</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zh-CN"/>
              </w:rPr>
              <w:t>锚碇</w:t>
            </w:r>
            <w:r>
              <w:rPr>
                <w:rFonts w:hint="eastAsia" w:ascii="宋体" w:hAnsi="宋体" w:cs="华光书宋_CNKI"/>
                <w:w w:val="105"/>
                <w:kern w:val="0"/>
                <w:sz w:val="21"/>
                <w:szCs w:val="21"/>
                <w:lang w:eastAsia="zh-CN"/>
              </w:rPr>
              <w:t>或</w:t>
            </w:r>
            <w:r>
              <w:rPr>
                <w:rFonts w:ascii="宋体" w:hAnsi="宋体" w:cs="华光书宋_CNKI"/>
                <w:w w:val="105"/>
                <w:kern w:val="0"/>
                <w:sz w:val="21"/>
                <w:szCs w:val="21"/>
                <w:lang w:eastAsia="zh-CN"/>
              </w:rPr>
              <w:t>主缆锚固点位移</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88" w:lineRule="exact"/>
              <w:ind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伸缩缝变位</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伸缩缝宽度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restart"/>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裂缝</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zh-CN"/>
              </w:rPr>
              <w:t>混凝土结构</w:t>
            </w:r>
            <w:r>
              <w:rPr>
                <w:rFonts w:hint="eastAsia" w:ascii="宋体" w:hAnsi="宋体" w:cs="华光书宋_CNKI"/>
                <w:w w:val="105"/>
                <w:kern w:val="0"/>
                <w:sz w:val="21"/>
                <w:szCs w:val="21"/>
                <w:lang w:eastAsia="zh-CN"/>
              </w:rPr>
              <w:t>结构性</w:t>
            </w:r>
            <w:r>
              <w:rPr>
                <w:rFonts w:ascii="宋体" w:hAnsi="宋体" w:cs="华光书宋_CNKI"/>
                <w:w w:val="105"/>
                <w:kern w:val="0"/>
                <w:sz w:val="21"/>
                <w:szCs w:val="21"/>
                <w:lang w:eastAsia="zh-CN"/>
              </w:rPr>
              <w:t>裂缝</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钢结构</w:t>
            </w:r>
            <w:r>
              <w:rPr>
                <w:rFonts w:hint="eastAsia" w:ascii="宋体" w:hAnsi="宋体" w:cs="华光书宋_CNKI"/>
                <w:w w:val="105"/>
                <w:kern w:val="0"/>
                <w:sz w:val="21"/>
                <w:szCs w:val="21"/>
                <w:lang w:eastAsia="en-US"/>
              </w:rPr>
              <w:t>结构性</w:t>
            </w:r>
            <w:r>
              <w:rPr>
                <w:rFonts w:ascii="宋体" w:hAnsi="宋体" w:cs="华光书宋_CNKI"/>
                <w:w w:val="105"/>
                <w:kern w:val="0"/>
                <w:sz w:val="21"/>
                <w:szCs w:val="21"/>
                <w:lang w:eastAsia="en-US"/>
              </w:rPr>
              <w:t>裂缝</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restart"/>
            <w:tcBorders>
              <w:top w:val="single" w:color="231F20" w:sz="4" w:space="0"/>
              <w:left w:val="single" w:color="231F20" w:sz="4" w:space="0"/>
              <w:bottom w:val="single" w:color="231F20" w:sz="4" w:space="0"/>
              <w:right w:val="single" w:color="231F20" w:sz="4" w:space="0"/>
            </w:tcBorders>
            <w:vAlign w:val="center"/>
          </w:tcPr>
          <w:p>
            <w:pPr>
              <w:autoSpaceDE w:val="0"/>
              <w:autoSpaceDN w:val="0"/>
              <w:spacing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腐蚀</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zh-CN"/>
              </w:rPr>
              <w:t>墩身</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承台混凝土氯离子浓度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vMerge w:val="continue"/>
            <w:tcBorders>
              <w:top w:val="nil"/>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zh-CN"/>
              </w:rPr>
              <w:t>墩身</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承台混凝土氯离子侵蚀深度</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2" w:line="288" w:lineRule="exact"/>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断丝</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吊索</w:t>
            </w:r>
            <w:r>
              <w:rPr>
                <w:rFonts w:hint="eastAsia" w:ascii="宋体" w:hAnsi="宋体" w:cs="华光书宋_CNKI"/>
                <w:w w:val="105"/>
                <w:kern w:val="0"/>
                <w:sz w:val="21"/>
                <w:szCs w:val="21"/>
                <w:lang w:eastAsia="en-US"/>
              </w:rPr>
              <w:t>、</w:t>
            </w:r>
            <w:r>
              <w:rPr>
                <w:rFonts w:ascii="宋体" w:hAnsi="宋体" w:cs="华光书宋_CNKI"/>
                <w:w w:val="105"/>
                <w:kern w:val="0"/>
                <w:sz w:val="21"/>
                <w:szCs w:val="21"/>
                <w:lang w:eastAsia="en-US"/>
              </w:rPr>
              <w:t>主缆断丝</w:t>
            </w:r>
          </w:p>
        </w:tc>
        <w:tc>
          <w:tcPr>
            <w:tcW w:w="1571"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2" w:line="288" w:lineRule="exact"/>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螺栓状态</w:t>
            </w:r>
          </w:p>
        </w:tc>
        <w:tc>
          <w:tcPr>
            <w:tcW w:w="423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97" w:lineRule="exact"/>
              <w:ind w:left="120" w:right="104"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zh-CN"/>
              </w:rPr>
              <w:t>索夹螺杆紧固力</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高强螺栓紧固力</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螺滑脱</w:t>
            </w:r>
          </w:p>
        </w:tc>
        <w:tc>
          <w:tcPr>
            <w:tcW w:w="1571" w:type="dxa"/>
            <w:tcBorders>
              <w:top w:val="single" w:color="231F20" w:sz="4" w:space="0"/>
              <w:left w:val="single" w:color="231F20" w:sz="4" w:space="0"/>
              <w:bottom w:val="single" w:color="231F20" w:sz="4" w:space="0"/>
            </w:tcBorders>
            <w:vAlign w:val="center"/>
          </w:tcPr>
          <w:p>
            <w:pPr>
              <w:autoSpaceDE w:val="0"/>
              <w:autoSpaceDN w:val="0"/>
              <w:snapToGrid w:val="0"/>
              <w:ind w:firstLine="0" w:firstLineChars="0"/>
              <w:jc w:val="center"/>
              <w:rPr>
                <w:rFonts w:ascii="宋体" w:hAnsi="宋体"/>
                <w:kern w:val="0"/>
                <w:sz w:val="21"/>
                <w:szCs w:val="21"/>
                <w:lang w:eastAsia="en-US"/>
              </w:rPr>
            </w:pPr>
            <w:r>
              <w:rPr>
                <w:rFonts w:ascii="宋体" w:hAnsi="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5" w:type="dxa"/>
            <w:vMerge w:val="continue"/>
            <w:tcBorders>
              <w:top w:val="nil"/>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666" w:type="dxa"/>
            <w:tcBorders>
              <w:top w:val="single" w:color="231F20" w:sz="4" w:space="0"/>
              <w:left w:val="single" w:color="231F20" w:sz="4" w:space="0"/>
              <w:right w:val="single" w:color="231F20" w:sz="4" w:space="0"/>
            </w:tcBorders>
            <w:vAlign w:val="center"/>
          </w:tcPr>
          <w:p>
            <w:pPr>
              <w:autoSpaceDE w:val="0"/>
              <w:autoSpaceDN w:val="0"/>
              <w:spacing w:before="32" w:line="288" w:lineRule="exact"/>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索夹滑移</w:t>
            </w:r>
          </w:p>
        </w:tc>
        <w:tc>
          <w:tcPr>
            <w:tcW w:w="4234" w:type="dxa"/>
            <w:tcBorders>
              <w:top w:val="single" w:color="231F20" w:sz="4" w:space="0"/>
              <w:left w:val="single" w:color="231F20" w:sz="4" w:space="0"/>
              <w:right w:val="single" w:color="231F20" w:sz="4" w:space="0"/>
            </w:tcBorders>
            <w:vAlign w:val="center"/>
          </w:tcPr>
          <w:p>
            <w:pPr>
              <w:autoSpaceDE w:val="0"/>
              <w:autoSpaceDN w:val="0"/>
              <w:spacing w:before="37" w:line="297" w:lineRule="exact"/>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索夹滑移</w:t>
            </w:r>
          </w:p>
        </w:tc>
        <w:tc>
          <w:tcPr>
            <w:tcW w:w="1571" w:type="dxa"/>
            <w:tcBorders>
              <w:top w:val="single" w:color="231F20" w:sz="4" w:space="0"/>
              <w:left w:val="single" w:color="231F20" w:sz="4" w:space="0"/>
            </w:tcBorders>
            <w:vAlign w:val="center"/>
          </w:tcPr>
          <w:p>
            <w:pPr>
              <w:autoSpaceDE w:val="0"/>
              <w:autoSpaceDN w:val="0"/>
              <w:snapToGrid w:val="0"/>
              <w:ind w:firstLine="0" w:firstLineChars="0"/>
              <w:jc w:val="center"/>
              <w:rPr>
                <w:rFonts w:ascii="宋体" w:hAnsi="宋体"/>
                <w:kern w:val="0"/>
                <w:sz w:val="21"/>
                <w:szCs w:val="21"/>
                <w:lang w:eastAsia="en-US"/>
              </w:rPr>
            </w:pPr>
            <w:r>
              <w:rPr>
                <w:rFonts w:ascii="宋体" w:hAnsi="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c>
          <w:tcPr>
            <w:tcW w:w="8306" w:type="dxa"/>
            <w:gridSpan w:val="4"/>
            <w:vAlign w:val="center"/>
          </w:tcPr>
          <w:p>
            <w:pPr>
              <w:autoSpaceDE w:val="0"/>
              <w:autoSpaceDN w:val="0"/>
              <w:spacing w:before="32" w:line="288" w:lineRule="exact"/>
              <w:ind w:right="104" w:firstLine="0" w:firstLineChars="0"/>
              <w:jc w:val="left"/>
              <w:rPr>
                <w:rFonts w:ascii="宋体" w:hAnsi="宋体" w:cs="华光书宋_CNKI"/>
                <w:w w:val="105"/>
                <w:kern w:val="0"/>
                <w:sz w:val="21"/>
                <w:szCs w:val="21"/>
                <w:lang w:eastAsia="zh-CN"/>
              </w:rPr>
            </w:pPr>
            <w:r>
              <w:rPr>
                <w:rFonts w:hint="eastAsia" w:ascii="宋体" w:hAnsi="宋体" w:cs="华光书宋_CNKI"/>
                <w:w w:val="105"/>
                <w:kern w:val="0"/>
                <w:sz w:val="21"/>
                <w:szCs w:val="21"/>
                <w:lang w:eastAsia="zh-CN"/>
              </w:rPr>
              <w:t>注</w:t>
            </w:r>
            <w:r>
              <w:rPr>
                <w:rFonts w:ascii="宋体" w:hAnsi="宋体" w:cs="华光书宋_CNKI"/>
                <w:w w:val="105"/>
                <w:kern w:val="0"/>
                <w:sz w:val="21"/>
                <w:szCs w:val="21"/>
                <w:lang w:eastAsia="zh-CN"/>
              </w:rPr>
              <w:t>：</w:t>
            </w:r>
            <w:r>
              <w:rPr>
                <w:rFonts w:hint="eastAsia" w:ascii="宋体" w:hAnsi="宋体" w:cs="华光书宋_CNKI"/>
                <w:w w:val="105"/>
                <w:kern w:val="0"/>
                <w:sz w:val="21"/>
                <w:szCs w:val="21"/>
                <w:lang w:eastAsia="zh-CN"/>
              </w:rPr>
              <w:t>1 ●</w:t>
            </w:r>
            <w:r>
              <w:rPr>
                <w:rFonts w:ascii="宋体" w:hAnsi="宋体" w:cs="华光书宋_CNKI"/>
                <w:w w:val="105"/>
                <w:kern w:val="0"/>
                <w:sz w:val="21"/>
                <w:szCs w:val="21"/>
                <w:lang w:eastAsia="zh-CN"/>
              </w:rPr>
              <w:t>为应选监测项</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为宜选监测项</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为可选监测项</w:t>
            </w:r>
            <w:r>
              <w:rPr>
                <w:rFonts w:hint="eastAsia" w:ascii="宋体" w:hAnsi="宋体" w:cs="华光书宋_CNKI"/>
                <w:w w:val="105"/>
                <w:kern w:val="0"/>
                <w:sz w:val="21"/>
                <w:szCs w:val="21"/>
                <w:lang w:eastAsia="zh-CN"/>
              </w:rPr>
              <w:t>。</w:t>
            </w:r>
          </w:p>
        </w:tc>
      </w:tr>
    </w:tbl>
    <w:p>
      <w:pPr>
        <w:ind w:firstLine="480"/>
      </w:pPr>
    </w:p>
    <w:p>
      <w:pPr>
        <w:pStyle w:val="4"/>
      </w:pPr>
      <w:r>
        <w:rPr>
          <w:rFonts w:hint="eastAsia"/>
        </w:rPr>
        <w:t>悬索桥发生涡振时应启动视频录像，作为特殊事件进行记录。</w:t>
      </w:r>
    </w:p>
    <w:p>
      <w:pPr>
        <w:pStyle w:val="4"/>
      </w:pPr>
      <w:r>
        <w:rPr>
          <w:rFonts w:hint="eastAsia"/>
        </w:rPr>
        <w:t>组合结构桥梁监测内容可根据结构主要受力特点按表4.2.</w:t>
      </w:r>
      <w:r>
        <w:t>4</w:t>
      </w:r>
      <w:r>
        <w:rPr>
          <w:rFonts w:hint="eastAsia"/>
        </w:rPr>
        <w:t>～表4.2.</w:t>
      </w:r>
      <w:r>
        <w:t>7</w:t>
      </w:r>
      <w:r>
        <w:rPr>
          <w:rFonts w:hint="eastAsia"/>
        </w:rPr>
        <w:t>选择相应监测内容。</w:t>
      </w:r>
    </w:p>
    <w:p>
      <w:pPr>
        <w:pStyle w:val="4"/>
      </w:pPr>
      <w:r>
        <w:rPr>
          <w:rFonts w:hint="eastAsia"/>
        </w:rPr>
        <w:t>对于常规跨径桥梁，可根据桥梁的结构特点、既有病害、历次检测结果和特定需求选择监测内容，建设轻量化健康监测系统，也可就特定目的有针对性地进行专项监测。常规跨径桥梁轻量化健康监测可按表4.2.1</w:t>
      </w:r>
      <w:r>
        <w:t>0</w:t>
      </w:r>
      <w:r>
        <w:rPr>
          <w:rFonts w:hint="eastAsia"/>
        </w:rPr>
        <w:t>选择相应监测内容。</w:t>
      </w:r>
    </w:p>
    <w:tbl>
      <w:tblPr>
        <w:tblStyle w:val="43"/>
        <w:tblW w:w="8306" w:type="dxa"/>
        <w:tblInd w:w="3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830"/>
        <w:gridCol w:w="1464"/>
        <w:gridCol w:w="2596"/>
        <w:gridCol w:w="854"/>
        <w:gridCol w:w="854"/>
        <w:gridCol w:w="854"/>
        <w:gridCol w:w="854"/>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06" w:type="dxa"/>
            <w:gridSpan w:val="7"/>
            <w:tcBorders>
              <w:top w:val="nil"/>
              <w:left w:val="nil"/>
              <w:bottom w:val="single" w:color="auto" w:sz="4" w:space="0"/>
              <w:right w:val="nil"/>
            </w:tcBorders>
            <w:vAlign w:val="center"/>
          </w:tcPr>
          <w:p>
            <w:pPr>
              <w:pStyle w:val="38"/>
              <w:widowControl w:val="0"/>
              <w:autoSpaceDE w:val="0"/>
              <w:autoSpaceDN w:val="0"/>
              <w:rPr>
                <w:b/>
                <w:lang w:eastAsia="zh-CN"/>
              </w:rPr>
            </w:pPr>
            <w:r>
              <w:rPr>
                <w:rFonts w:hint="eastAsia"/>
                <w:lang w:eastAsia="zh-CN"/>
              </w:rPr>
              <w:t xml:space="preserve">表 </w:t>
            </w:r>
            <w:r>
              <w:rPr>
                <w:lang w:eastAsia="en-US"/>
              </w:rPr>
              <w:fldChar w:fldCharType="begin"/>
            </w:r>
            <w:r>
              <w:rPr>
                <w:lang w:eastAsia="zh-CN"/>
              </w:rPr>
              <w:instrText xml:space="preserve"> </w:instrText>
            </w:r>
            <w:r>
              <w:rPr>
                <w:rFonts w:hint="eastAsia"/>
                <w:lang w:eastAsia="zh-CN"/>
              </w:rPr>
              <w:instrText xml:space="preserve">STYLEREF 3 \s</w:instrText>
            </w:r>
            <w:r>
              <w:rPr>
                <w:lang w:eastAsia="zh-CN"/>
              </w:rPr>
              <w:instrText xml:space="preserve"> </w:instrText>
            </w:r>
            <w:r>
              <w:rPr>
                <w:lang w:eastAsia="en-US"/>
              </w:rPr>
              <w:fldChar w:fldCharType="separate"/>
            </w:r>
            <w:r>
              <w:rPr>
                <w:lang w:eastAsia="zh-CN"/>
              </w:rPr>
              <w:t>4.2.10</w:t>
            </w:r>
            <w:r>
              <w:rPr>
                <w:lang w:eastAsia="en-US"/>
              </w:rPr>
              <w:fldChar w:fldCharType="end"/>
            </w:r>
            <w:r>
              <w:rPr>
                <w:lang w:eastAsia="zh-CN"/>
              </w:rPr>
              <w:t xml:space="preserve"> </w:t>
            </w:r>
            <w:r>
              <w:rPr>
                <w:rFonts w:hint="eastAsia"/>
                <w:lang w:eastAsia="zh-CN"/>
              </w:rPr>
              <w:t>常规跨径桥梁轻量化监测内容</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2294" w:type="dxa"/>
            <w:gridSpan w:val="2"/>
            <w:tcBorders>
              <w:top w:val="single" w:color="auto" w:sz="4" w:space="0"/>
              <w:right w:val="single" w:color="231F20" w:sz="4" w:space="0"/>
            </w:tcBorders>
            <w:vAlign w:val="center"/>
          </w:tcPr>
          <w:p>
            <w:pPr>
              <w:autoSpaceDE w:val="0"/>
              <w:autoSpaceDN w:val="0"/>
              <w:spacing w:before="32" w:line="288" w:lineRule="exact"/>
              <w:ind w:firstLine="0" w:firstLineChars="0"/>
              <w:jc w:val="center"/>
              <w:rPr>
                <w:rFonts w:ascii="宋体" w:hAnsi="宋体" w:cs="华光书宋_CNKI"/>
                <w:b/>
                <w:w w:val="105"/>
                <w:kern w:val="0"/>
                <w:sz w:val="21"/>
                <w:szCs w:val="21"/>
                <w:lang w:eastAsia="en-US"/>
              </w:rPr>
            </w:pPr>
            <w:r>
              <w:rPr>
                <w:rFonts w:ascii="宋体" w:hAnsi="宋体" w:cs="华光书宋_CNKI"/>
                <w:b/>
                <w:w w:val="105"/>
                <w:kern w:val="0"/>
                <w:sz w:val="21"/>
                <w:szCs w:val="21"/>
                <w:lang w:eastAsia="en-US"/>
              </w:rPr>
              <w:t>监测类别</w:t>
            </w:r>
          </w:p>
        </w:tc>
        <w:tc>
          <w:tcPr>
            <w:tcW w:w="2596" w:type="dxa"/>
            <w:tcBorders>
              <w:top w:val="single" w:color="auto" w:sz="4" w:space="0"/>
              <w:left w:val="single" w:color="231F20" w:sz="4" w:space="0"/>
              <w:right w:val="single" w:color="231F20" w:sz="4" w:space="0"/>
            </w:tcBorders>
            <w:vAlign w:val="center"/>
          </w:tcPr>
          <w:p>
            <w:pPr>
              <w:autoSpaceDE w:val="0"/>
              <w:autoSpaceDN w:val="0"/>
              <w:spacing w:before="32" w:line="288" w:lineRule="exact"/>
              <w:ind w:right="104" w:firstLine="0" w:firstLineChars="0"/>
              <w:jc w:val="center"/>
              <w:rPr>
                <w:rFonts w:ascii="宋体" w:hAnsi="宋体" w:cs="华光书宋_CNKI"/>
                <w:b/>
                <w:w w:val="105"/>
                <w:kern w:val="0"/>
                <w:sz w:val="21"/>
                <w:szCs w:val="21"/>
                <w:lang w:eastAsia="en-US"/>
              </w:rPr>
            </w:pPr>
            <w:r>
              <w:rPr>
                <w:rFonts w:ascii="宋体" w:hAnsi="宋体" w:cs="华光书宋_CNKI"/>
                <w:b/>
                <w:w w:val="105"/>
                <w:kern w:val="0"/>
                <w:sz w:val="21"/>
                <w:szCs w:val="21"/>
                <w:lang w:eastAsia="en-US"/>
              </w:rPr>
              <w:t>监 测 内 容</w:t>
            </w:r>
          </w:p>
        </w:tc>
        <w:tc>
          <w:tcPr>
            <w:tcW w:w="854" w:type="dxa"/>
            <w:tcBorders>
              <w:top w:val="single" w:color="auto" w:sz="4" w:space="0"/>
              <w:left w:val="single" w:color="231F20" w:sz="4" w:space="0"/>
            </w:tcBorders>
            <w:vAlign w:val="center"/>
          </w:tcPr>
          <w:p>
            <w:pPr>
              <w:autoSpaceDE w:val="0"/>
              <w:autoSpaceDN w:val="0"/>
              <w:spacing w:before="32" w:line="288" w:lineRule="exact"/>
              <w:ind w:right="104" w:firstLine="0" w:firstLineChars="0"/>
              <w:jc w:val="center"/>
              <w:rPr>
                <w:rFonts w:ascii="宋体" w:hAnsi="宋体" w:cs="华光书宋_CNKI"/>
                <w:b/>
                <w:kern w:val="0"/>
                <w:sz w:val="21"/>
                <w:szCs w:val="21"/>
                <w:lang w:eastAsia="en-US"/>
              </w:rPr>
            </w:pPr>
            <w:r>
              <w:rPr>
                <w:rFonts w:hint="eastAsia" w:ascii="宋体" w:hAnsi="宋体" w:cs="华光书宋_CNKI"/>
                <w:b/>
                <w:kern w:val="0"/>
                <w:sz w:val="21"/>
                <w:szCs w:val="21"/>
                <w:lang w:eastAsia="en-US"/>
              </w:rPr>
              <w:t>梁桥</w:t>
            </w:r>
          </w:p>
        </w:tc>
        <w:tc>
          <w:tcPr>
            <w:tcW w:w="854" w:type="dxa"/>
            <w:tcBorders>
              <w:top w:val="single" w:color="auto" w:sz="4" w:space="0"/>
              <w:left w:val="single" w:color="231F20" w:sz="4" w:space="0"/>
            </w:tcBorders>
          </w:tcPr>
          <w:p>
            <w:pPr>
              <w:autoSpaceDE w:val="0"/>
              <w:autoSpaceDN w:val="0"/>
              <w:spacing w:before="32" w:line="288" w:lineRule="exact"/>
              <w:ind w:right="104" w:firstLine="0" w:firstLineChars="0"/>
              <w:jc w:val="center"/>
              <w:rPr>
                <w:rFonts w:ascii="宋体" w:hAnsi="宋体" w:cs="华光书宋_CNKI"/>
                <w:b/>
                <w:kern w:val="0"/>
                <w:sz w:val="21"/>
                <w:szCs w:val="21"/>
                <w:lang w:eastAsia="en-US"/>
              </w:rPr>
            </w:pPr>
            <w:r>
              <w:rPr>
                <w:rFonts w:hint="eastAsia" w:ascii="宋体" w:hAnsi="宋体" w:cs="华光书宋_CNKI"/>
                <w:b/>
                <w:kern w:val="0"/>
                <w:sz w:val="21"/>
                <w:szCs w:val="21"/>
                <w:lang w:eastAsia="en-US"/>
              </w:rPr>
              <w:t>拱桥</w:t>
            </w:r>
          </w:p>
        </w:tc>
        <w:tc>
          <w:tcPr>
            <w:tcW w:w="854" w:type="dxa"/>
            <w:tcBorders>
              <w:top w:val="single" w:color="auto" w:sz="4" w:space="0"/>
              <w:left w:val="single" w:color="231F20" w:sz="4" w:space="0"/>
              <w:right w:val="single" w:color="231F20" w:sz="4" w:space="0"/>
            </w:tcBorders>
          </w:tcPr>
          <w:p>
            <w:pPr>
              <w:autoSpaceDE w:val="0"/>
              <w:autoSpaceDN w:val="0"/>
              <w:spacing w:before="32" w:line="288" w:lineRule="exact"/>
              <w:ind w:right="104" w:firstLine="0" w:firstLineChars="0"/>
              <w:jc w:val="center"/>
              <w:rPr>
                <w:rFonts w:ascii="宋体" w:hAnsi="宋体" w:cs="华光书宋_CNKI"/>
                <w:b/>
                <w:kern w:val="0"/>
                <w:sz w:val="21"/>
                <w:szCs w:val="21"/>
                <w:lang w:eastAsia="en-US"/>
              </w:rPr>
            </w:pPr>
            <w:r>
              <w:rPr>
                <w:rFonts w:hint="eastAsia" w:ascii="宋体" w:hAnsi="宋体" w:cs="华光书宋_CNKI"/>
                <w:b/>
                <w:kern w:val="0"/>
                <w:sz w:val="21"/>
                <w:szCs w:val="21"/>
                <w:lang w:eastAsia="en-US"/>
              </w:rPr>
              <w:t>斜拉</w:t>
            </w:r>
            <w:r>
              <w:rPr>
                <w:rFonts w:ascii="宋体" w:hAnsi="宋体" w:cs="华光书宋_CNKI"/>
                <w:b/>
                <w:kern w:val="0"/>
                <w:sz w:val="21"/>
                <w:szCs w:val="21"/>
                <w:lang w:eastAsia="en-US"/>
              </w:rPr>
              <w:t>桥</w:t>
            </w:r>
          </w:p>
        </w:tc>
        <w:tc>
          <w:tcPr>
            <w:tcW w:w="854" w:type="dxa"/>
            <w:tcBorders>
              <w:top w:val="single" w:color="auto" w:sz="4" w:space="0"/>
              <w:left w:val="single" w:color="231F20" w:sz="4" w:space="0"/>
            </w:tcBorders>
          </w:tcPr>
          <w:p>
            <w:pPr>
              <w:autoSpaceDE w:val="0"/>
              <w:autoSpaceDN w:val="0"/>
              <w:spacing w:before="32" w:line="288" w:lineRule="exact"/>
              <w:ind w:right="104" w:firstLine="0" w:firstLineChars="0"/>
              <w:jc w:val="center"/>
              <w:rPr>
                <w:rFonts w:ascii="宋体" w:hAnsi="宋体" w:cs="华光书宋_CNKI"/>
                <w:b/>
                <w:kern w:val="0"/>
                <w:sz w:val="21"/>
                <w:szCs w:val="21"/>
                <w:lang w:eastAsia="en-US"/>
              </w:rPr>
            </w:pPr>
            <w:r>
              <w:rPr>
                <w:rFonts w:hint="eastAsia" w:ascii="宋体" w:hAnsi="宋体" w:cs="华光书宋_CNKI"/>
                <w:b/>
                <w:kern w:val="0"/>
                <w:sz w:val="21"/>
                <w:szCs w:val="21"/>
                <w:lang w:eastAsia="en-US"/>
              </w:rPr>
              <w:t>悬索</w:t>
            </w:r>
            <w:r>
              <w:rPr>
                <w:rFonts w:ascii="宋体" w:hAnsi="宋体" w:cs="华光书宋_CNKI"/>
                <w:b/>
                <w:kern w:val="0"/>
                <w:sz w:val="21"/>
                <w:szCs w:val="21"/>
                <w:lang w:eastAsia="en-US"/>
              </w:rPr>
              <w:t>桥</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0" w:type="dxa"/>
            <w:tcBorders>
              <w:top w:val="single" w:color="auto" w:sz="4" w:space="0"/>
              <w:right w:val="single" w:color="231F20" w:sz="4" w:space="0"/>
            </w:tcBorders>
            <w:vAlign w:val="center"/>
          </w:tcPr>
          <w:p>
            <w:pPr>
              <w:autoSpaceDE w:val="0"/>
              <w:autoSpaceDN w:val="0"/>
              <w:spacing w:before="1" w:line="240" w:lineRule="auto"/>
              <w:ind w:firstLine="0" w:firstLineChars="0"/>
              <w:jc w:val="center"/>
              <w:rPr>
                <w:rFonts w:ascii="宋体" w:hAnsi="宋体" w:cs="华光书宋_CNKI"/>
                <w:b/>
                <w:w w:val="105"/>
                <w:kern w:val="0"/>
                <w:sz w:val="21"/>
                <w:szCs w:val="21"/>
                <w:lang w:eastAsia="zh-CN"/>
              </w:rPr>
            </w:pPr>
            <w:r>
              <w:rPr>
                <w:rFonts w:hint="eastAsia" w:ascii="宋体" w:hAnsi="宋体" w:cs="华光书宋_CNKI"/>
                <w:w w:val="105"/>
                <w:kern w:val="0"/>
                <w:sz w:val="21"/>
                <w:szCs w:val="21"/>
                <w:lang w:eastAsia="en-US"/>
              </w:rPr>
              <w:t>作用</w:t>
            </w:r>
          </w:p>
        </w:tc>
        <w:tc>
          <w:tcPr>
            <w:tcW w:w="1464" w:type="dxa"/>
            <w:tcBorders>
              <w:top w:val="single" w:color="auto" w:sz="4" w:space="0"/>
              <w:right w:val="single" w:color="231F20" w:sz="4" w:space="0"/>
            </w:tcBorders>
            <w:vAlign w:val="center"/>
          </w:tcPr>
          <w:p>
            <w:pPr>
              <w:autoSpaceDE w:val="0"/>
              <w:autoSpaceDN w:val="0"/>
              <w:spacing w:before="1" w:line="240" w:lineRule="auto"/>
              <w:ind w:firstLine="0" w:firstLineChars="0"/>
              <w:jc w:val="center"/>
              <w:rPr>
                <w:rFonts w:ascii="宋体" w:hAnsi="宋体" w:cs="华光书宋_CNKI"/>
                <w:b/>
                <w:w w:val="105"/>
                <w:kern w:val="0"/>
                <w:sz w:val="21"/>
                <w:szCs w:val="21"/>
                <w:lang w:eastAsia="zh-CN"/>
              </w:rPr>
            </w:pPr>
            <w:r>
              <w:rPr>
                <w:rFonts w:hint="eastAsia" w:ascii="宋体" w:hAnsi="宋体" w:cs="华光书宋_CNKI"/>
                <w:w w:val="105"/>
                <w:kern w:val="0"/>
                <w:sz w:val="21"/>
                <w:szCs w:val="21"/>
                <w:lang w:eastAsia="zh-CN"/>
              </w:rPr>
              <w:t>结构</w:t>
            </w:r>
            <w:r>
              <w:rPr>
                <w:rFonts w:hint="eastAsia" w:ascii="宋体" w:hAnsi="宋体" w:cs="华光书宋_CNKI"/>
                <w:w w:val="105"/>
                <w:kern w:val="0"/>
                <w:sz w:val="21"/>
                <w:szCs w:val="21"/>
                <w:lang w:eastAsia="en-US"/>
              </w:rPr>
              <w:t>温度</w:t>
            </w:r>
          </w:p>
        </w:tc>
        <w:tc>
          <w:tcPr>
            <w:tcW w:w="2596" w:type="dxa"/>
            <w:tcBorders>
              <w:top w:val="single" w:color="auto" w:sz="4" w:space="0"/>
              <w:left w:val="single" w:color="231F20" w:sz="4" w:space="0"/>
              <w:right w:val="single" w:color="231F20" w:sz="4" w:space="0"/>
            </w:tcBorders>
            <w:vAlign w:val="center"/>
          </w:tcPr>
          <w:p>
            <w:pPr>
              <w:autoSpaceDE w:val="0"/>
              <w:autoSpaceDN w:val="0"/>
              <w:spacing w:before="1" w:line="240" w:lineRule="auto"/>
              <w:ind w:firstLine="0" w:firstLineChars="0"/>
              <w:jc w:val="center"/>
              <w:rPr>
                <w:rFonts w:ascii="宋体" w:hAnsi="宋体" w:cs="华光书宋_CNKI"/>
                <w:w w:val="105"/>
                <w:kern w:val="0"/>
                <w:sz w:val="21"/>
                <w:szCs w:val="21"/>
                <w:lang w:eastAsia="zh-CN"/>
              </w:rPr>
            </w:pPr>
            <w:r>
              <w:rPr>
                <w:rFonts w:hint="eastAsia" w:ascii="宋体" w:hAnsi="宋体" w:cs="华光书宋_CNKI"/>
                <w:w w:val="105"/>
                <w:kern w:val="0"/>
                <w:sz w:val="21"/>
                <w:szCs w:val="21"/>
                <w:lang w:eastAsia="zh-CN"/>
              </w:rPr>
              <w:t>混凝土或钢</w:t>
            </w:r>
            <w:r>
              <w:rPr>
                <w:rFonts w:ascii="宋体" w:hAnsi="宋体" w:cs="华光书宋_CNKI"/>
                <w:w w:val="105"/>
                <w:kern w:val="0"/>
                <w:sz w:val="21"/>
                <w:szCs w:val="21"/>
                <w:lang w:eastAsia="zh-CN"/>
              </w:rPr>
              <w:t>结构构件温度</w:t>
            </w:r>
          </w:p>
        </w:tc>
        <w:tc>
          <w:tcPr>
            <w:tcW w:w="854" w:type="dxa"/>
            <w:tcBorders>
              <w:top w:val="single" w:color="auto" w:sz="4" w:space="0"/>
              <w:left w:val="single" w:color="231F20" w:sz="4" w:space="0"/>
            </w:tcBorders>
          </w:tcPr>
          <w:p>
            <w:pPr>
              <w:autoSpaceDE w:val="0"/>
              <w:autoSpaceDN w:val="0"/>
              <w:spacing w:before="1" w:line="240" w:lineRule="auto"/>
              <w:ind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en-US"/>
              </w:rPr>
              <w:t>●</w:t>
            </w:r>
          </w:p>
        </w:tc>
        <w:tc>
          <w:tcPr>
            <w:tcW w:w="854" w:type="dxa"/>
            <w:tcBorders>
              <w:top w:val="single" w:color="auto" w:sz="4" w:space="0"/>
              <w:left w:val="single" w:color="231F20" w:sz="4" w:space="0"/>
            </w:tcBorders>
          </w:tcPr>
          <w:p>
            <w:pPr>
              <w:autoSpaceDE w:val="0"/>
              <w:autoSpaceDN w:val="0"/>
              <w:spacing w:before="1" w:line="240" w:lineRule="auto"/>
              <w:ind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en-US"/>
              </w:rPr>
              <w:t>●</w:t>
            </w:r>
          </w:p>
        </w:tc>
        <w:tc>
          <w:tcPr>
            <w:tcW w:w="854" w:type="dxa"/>
            <w:tcBorders>
              <w:top w:val="single" w:color="auto" w:sz="4" w:space="0"/>
              <w:left w:val="single" w:color="231F20" w:sz="4" w:space="0"/>
              <w:right w:val="single" w:color="231F20" w:sz="4" w:space="0"/>
            </w:tcBorders>
          </w:tcPr>
          <w:p>
            <w:pPr>
              <w:autoSpaceDE w:val="0"/>
              <w:autoSpaceDN w:val="0"/>
              <w:spacing w:before="1" w:line="240" w:lineRule="auto"/>
              <w:ind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en-US"/>
              </w:rPr>
              <w:t>●</w:t>
            </w:r>
          </w:p>
        </w:tc>
        <w:tc>
          <w:tcPr>
            <w:tcW w:w="854" w:type="dxa"/>
            <w:tcBorders>
              <w:top w:val="single" w:color="auto" w:sz="4" w:space="0"/>
              <w:left w:val="single" w:color="231F20" w:sz="4" w:space="0"/>
            </w:tcBorders>
          </w:tcPr>
          <w:p>
            <w:pPr>
              <w:autoSpaceDE w:val="0"/>
              <w:autoSpaceDN w:val="0"/>
              <w:spacing w:before="1" w:line="240" w:lineRule="auto"/>
              <w:ind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0" w:type="dxa"/>
            <w:vMerge w:val="restart"/>
            <w:tcBorders>
              <w:top w:val="single" w:color="231F20" w:sz="4" w:space="0"/>
              <w:right w:val="single" w:color="231F20" w:sz="4" w:space="0"/>
            </w:tcBorders>
            <w:vAlign w:val="center"/>
          </w:tcPr>
          <w:p>
            <w:pPr>
              <w:autoSpaceDE w:val="0"/>
              <w:autoSpaceDN w:val="0"/>
              <w:spacing w:before="1"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结构</w:t>
            </w:r>
          </w:p>
          <w:p>
            <w:pPr>
              <w:autoSpaceDE w:val="0"/>
              <w:autoSpaceDN w:val="0"/>
              <w:spacing w:before="1"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响应</w:t>
            </w:r>
          </w:p>
        </w:tc>
        <w:tc>
          <w:tcPr>
            <w:tcW w:w="1464" w:type="dxa"/>
            <w:vMerge w:val="restart"/>
            <w:tcBorders>
              <w:top w:val="single" w:color="231F20" w:sz="4" w:space="0"/>
              <w:left w:val="single" w:color="231F20" w:sz="4" w:space="0"/>
              <w:right w:val="single" w:color="231F20" w:sz="4" w:space="0"/>
            </w:tcBorders>
            <w:vAlign w:val="center"/>
          </w:tcPr>
          <w:p>
            <w:pPr>
              <w:autoSpaceDE w:val="0"/>
              <w:autoSpaceDN w:val="0"/>
              <w:spacing w:before="1"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位移</w:t>
            </w:r>
          </w:p>
        </w:tc>
        <w:tc>
          <w:tcPr>
            <w:tcW w:w="259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主梁竖向位移</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right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0" w:type="dxa"/>
            <w:vMerge w:val="continue"/>
            <w:tcBorders>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464" w:type="dxa"/>
            <w:vMerge w:val="continue"/>
            <w:tcBorders>
              <w:left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259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kern w:val="0"/>
                <w:sz w:val="21"/>
                <w:szCs w:val="21"/>
                <w:lang w:eastAsia="en-US"/>
              </w:rPr>
            </w:pPr>
            <w:r>
              <w:rPr>
                <w:rFonts w:hint="eastAsia" w:ascii="宋体" w:hAnsi="宋体" w:cs="华光书宋_CNKI"/>
                <w:kern w:val="0"/>
                <w:sz w:val="21"/>
                <w:szCs w:val="21"/>
                <w:lang w:eastAsia="en-US"/>
              </w:rPr>
              <w:t>拱顶</w:t>
            </w:r>
            <w:r>
              <w:rPr>
                <w:rFonts w:ascii="宋体" w:hAnsi="宋体" w:cs="华光书宋_CNKI"/>
                <w:kern w:val="0"/>
                <w:sz w:val="21"/>
                <w:szCs w:val="21"/>
                <w:lang w:eastAsia="en-US"/>
              </w:rPr>
              <w:t>位移</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right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0" w:type="dxa"/>
            <w:vMerge w:val="continue"/>
            <w:tcBorders>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464" w:type="dxa"/>
            <w:vMerge w:val="continue"/>
            <w:tcBorders>
              <w:left w:val="single" w:color="231F20" w:sz="4" w:space="0"/>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259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支座位移</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right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0" w:type="dxa"/>
            <w:vMerge w:val="continue"/>
            <w:tcBorders>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464" w:type="dxa"/>
            <w:vMerge w:val="restart"/>
            <w:tcBorders>
              <w:top w:val="single" w:color="231F20" w:sz="4" w:space="0"/>
              <w:left w:val="single" w:color="231F20" w:sz="4" w:space="0"/>
              <w:right w:val="single" w:color="231F20" w:sz="4" w:space="0"/>
            </w:tcBorders>
            <w:vAlign w:val="center"/>
          </w:tcPr>
          <w:p>
            <w:pPr>
              <w:autoSpaceDE w:val="0"/>
              <w:autoSpaceDN w:val="0"/>
              <w:spacing w:before="37"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应变</w:t>
            </w:r>
          </w:p>
        </w:tc>
        <w:tc>
          <w:tcPr>
            <w:tcW w:w="259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主梁关键截面应变</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right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0" w:type="dxa"/>
            <w:vMerge w:val="continue"/>
            <w:tcBorders>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464" w:type="dxa"/>
            <w:vMerge w:val="continue"/>
            <w:tcBorders>
              <w:left w:val="single" w:color="231F20" w:sz="4" w:space="0"/>
              <w:bottom w:val="single" w:color="231F20" w:sz="4" w:space="0"/>
              <w:right w:val="single" w:color="231F20" w:sz="4" w:space="0"/>
            </w:tcBorders>
            <w:vAlign w:val="center"/>
          </w:tcPr>
          <w:p>
            <w:pPr>
              <w:autoSpaceDE w:val="0"/>
              <w:autoSpaceDN w:val="0"/>
              <w:spacing w:before="37" w:line="240" w:lineRule="auto"/>
              <w:ind w:left="16" w:firstLine="441" w:firstLineChars="0"/>
              <w:jc w:val="center"/>
              <w:rPr>
                <w:rFonts w:ascii="宋体" w:hAnsi="宋体" w:cs="华光书宋_CNKI"/>
                <w:w w:val="105"/>
                <w:kern w:val="0"/>
                <w:sz w:val="21"/>
                <w:szCs w:val="21"/>
                <w:lang w:eastAsia="en-US"/>
              </w:rPr>
            </w:pPr>
          </w:p>
        </w:tc>
        <w:tc>
          <w:tcPr>
            <w:tcW w:w="259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主拱</w:t>
            </w:r>
            <w:r>
              <w:rPr>
                <w:rFonts w:ascii="宋体" w:hAnsi="宋体" w:cs="华光书宋_CNKI"/>
                <w:w w:val="105"/>
                <w:kern w:val="0"/>
                <w:sz w:val="21"/>
                <w:szCs w:val="21"/>
                <w:lang w:eastAsia="en-US"/>
              </w:rPr>
              <w:t>关键截面应变</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right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0" w:type="dxa"/>
            <w:vMerge w:val="continue"/>
            <w:tcBorders>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46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支座反力</w:t>
            </w:r>
          </w:p>
        </w:tc>
        <w:tc>
          <w:tcPr>
            <w:tcW w:w="259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支座反力</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c>
          <w:tcPr>
            <w:tcW w:w="854" w:type="dxa"/>
            <w:tcBorders>
              <w:top w:val="single" w:color="231F20" w:sz="4" w:space="0"/>
              <w:left w:val="single" w:color="231F20" w:sz="4" w:space="0"/>
              <w:bottom w:val="single" w:color="231F20" w:sz="4" w:space="0"/>
              <w:right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0" w:type="dxa"/>
            <w:vMerge w:val="continue"/>
            <w:tcBorders>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464" w:type="dxa"/>
            <w:vMerge w:val="restart"/>
            <w:tcBorders>
              <w:top w:val="single" w:color="231F20" w:sz="4" w:space="0"/>
              <w:left w:val="single" w:color="231F20" w:sz="4" w:space="0"/>
              <w:right w:val="single" w:color="231F20" w:sz="4" w:space="0"/>
            </w:tcBorders>
            <w:vAlign w:val="center"/>
          </w:tcPr>
          <w:p>
            <w:pPr>
              <w:autoSpaceDE w:val="0"/>
              <w:autoSpaceDN w:val="0"/>
              <w:spacing w:before="1" w:line="240" w:lineRule="auto"/>
              <w:ind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振动</w:t>
            </w:r>
          </w:p>
        </w:tc>
        <w:tc>
          <w:tcPr>
            <w:tcW w:w="259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kern w:val="0"/>
                <w:sz w:val="21"/>
                <w:szCs w:val="21"/>
                <w:lang w:eastAsia="en-US"/>
              </w:rPr>
            </w:pPr>
            <w:r>
              <w:rPr>
                <w:rFonts w:ascii="宋体" w:hAnsi="宋体" w:cs="华光书宋_CNKI"/>
                <w:w w:val="105"/>
                <w:kern w:val="0"/>
                <w:sz w:val="21"/>
                <w:szCs w:val="21"/>
                <w:lang w:eastAsia="en-US"/>
              </w:rPr>
              <w:t>主梁竖向振动加速度</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right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0" w:type="dxa"/>
            <w:vMerge w:val="continue"/>
            <w:tcBorders>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464" w:type="dxa"/>
            <w:vMerge w:val="continue"/>
            <w:tcBorders>
              <w:top w:val="single" w:color="231F20" w:sz="4" w:space="0"/>
              <w:left w:val="single" w:color="231F20" w:sz="4" w:space="0"/>
              <w:right w:val="single" w:color="231F20" w:sz="4" w:space="0"/>
            </w:tcBorders>
            <w:vAlign w:val="center"/>
          </w:tcPr>
          <w:p>
            <w:pPr>
              <w:autoSpaceDE w:val="0"/>
              <w:autoSpaceDN w:val="0"/>
              <w:spacing w:before="1" w:line="240" w:lineRule="auto"/>
              <w:ind w:left="16" w:firstLine="441" w:firstLineChars="0"/>
              <w:jc w:val="center"/>
              <w:rPr>
                <w:rFonts w:ascii="宋体" w:hAnsi="宋体" w:cs="华光书宋_CNKI"/>
                <w:w w:val="105"/>
                <w:kern w:val="0"/>
                <w:sz w:val="21"/>
                <w:szCs w:val="21"/>
                <w:lang w:eastAsia="en-US"/>
              </w:rPr>
            </w:pPr>
          </w:p>
        </w:tc>
        <w:tc>
          <w:tcPr>
            <w:tcW w:w="259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10"/>
                <w:kern w:val="0"/>
                <w:sz w:val="21"/>
                <w:szCs w:val="21"/>
                <w:lang w:eastAsia="en-US"/>
              </w:rPr>
              <w:t>主拱振动加速度</w:t>
            </w:r>
          </w:p>
        </w:tc>
        <w:tc>
          <w:tcPr>
            <w:tcW w:w="854"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right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50" w:hRule="atLeast"/>
        </w:trPr>
        <w:tc>
          <w:tcPr>
            <w:tcW w:w="830" w:type="dxa"/>
            <w:vMerge w:val="continue"/>
            <w:tcBorders>
              <w:bottom w:val="single" w:color="231F20" w:sz="4" w:space="0"/>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464" w:type="dxa"/>
            <w:vMerge w:val="continue"/>
            <w:tcBorders>
              <w:left w:val="single" w:color="231F20" w:sz="4" w:space="0"/>
              <w:bottom w:val="single" w:color="231F20" w:sz="4" w:space="0"/>
              <w:right w:val="single" w:color="231F20" w:sz="4" w:space="0"/>
            </w:tcBorders>
            <w:vAlign w:val="center"/>
          </w:tcPr>
          <w:p>
            <w:pPr>
              <w:autoSpaceDE w:val="0"/>
              <w:autoSpaceDN w:val="0"/>
              <w:spacing w:before="1" w:line="240" w:lineRule="auto"/>
              <w:ind w:left="16" w:firstLine="441" w:firstLineChars="0"/>
              <w:jc w:val="center"/>
              <w:rPr>
                <w:rFonts w:ascii="宋体" w:hAnsi="宋体" w:cs="华光书宋_CNKI"/>
                <w:w w:val="105"/>
                <w:kern w:val="0"/>
                <w:sz w:val="21"/>
                <w:szCs w:val="21"/>
                <w:lang w:eastAsia="en-US"/>
              </w:rPr>
            </w:pPr>
          </w:p>
        </w:tc>
        <w:tc>
          <w:tcPr>
            <w:tcW w:w="259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10"/>
                <w:kern w:val="0"/>
                <w:sz w:val="21"/>
                <w:szCs w:val="21"/>
                <w:lang w:eastAsia="en-US"/>
              </w:rPr>
              <w:t>吊杆</w:t>
            </w:r>
            <w:r>
              <w:rPr>
                <w:rFonts w:hint="eastAsia" w:ascii="宋体" w:hAnsi="宋体" w:cs="华光书宋_CNKI"/>
                <w:w w:val="110"/>
                <w:kern w:val="0"/>
                <w:sz w:val="21"/>
                <w:szCs w:val="21"/>
                <w:lang w:eastAsia="en-US"/>
              </w:rPr>
              <w:t>（</w:t>
            </w:r>
            <w:r>
              <w:rPr>
                <w:rFonts w:ascii="宋体" w:hAnsi="宋体" w:cs="华光书宋_CNKI"/>
                <w:w w:val="110"/>
                <w:kern w:val="0"/>
                <w:sz w:val="21"/>
                <w:szCs w:val="21"/>
                <w:lang w:eastAsia="en-US"/>
              </w:rPr>
              <w:t>索</w:t>
            </w:r>
            <w:r>
              <w:rPr>
                <w:rFonts w:hint="eastAsia" w:ascii="宋体" w:hAnsi="宋体" w:cs="华光书宋_CNKI"/>
                <w:w w:val="110"/>
                <w:kern w:val="0"/>
                <w:sz w:val="21"/>
                <w:szCs w:val="21"/>
                <w:lang w:eastAsia="en-US"/>
              </w:rPr>
              <w:t>）、</w:t>
            </w:r>
            <w:r>
              <w:rPr>
                <w:rFonts w:ascii="宋体" w:hAnsi="宋体" w:cs="华光书宋_CNKI"/>
                <w:w w:val="110"/>
                <w:kern w:val="0"/>
                <w:sz w:val="21"/>
                <w:szCs w:val="21"/>
                <w:lang w:eastAsia="en-US"/>
              </w:rPr>
              <w:t>拉索</w:t>
            </w:r>
            <w:r>
              <w:rPr>
                <w:rFonts w:hint="eastAsia" w:ascii="宋体" w:hAnsi="宋体" w:cs="华光书宋_CNKI"/>
                <w:w w:val="110"/>
                <w:kern w:val="0"/>
                <w:sz w:val="21"/>
                <w:szCs w:val="21"/>
                <w:lang w:eastAsia="en-US"/>
              </w:rPr>
              <w:t>索力</w:t>
            </w:r>
          </w:p>
        </w:tc>
        <w:tc>
          <w:tcPr>
            <w:tcW w:w="854"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right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5" w:hRule="atLeast"/>
        </w:trPr>
        <w:tc>
          <w:tcPr>
            <w:tcW w:w="830" w:type="dxa"/>
            <w:vMerge w:val="restart"/>
            <w:tcBorders>
              <w:top w:val="single" w:color="231F20" w:sz="4" w:space="0"/>
              <w:right w:val="single" w:color="231F20" w:sz="4" w:space="0"/>
            </w:tcBorders>
            <w:vAlign w:val="center"/>
          </w:tcPr>
          <w:p>
            <w:pPr>
              <w:autoSpaceDE w:val="0"/>
              <w:autoSpaceDN w:val="0"/>
              <w:spacing w:before="1"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结构</w:t>
            </w:r>
          </w:p>
          <w:p>
            <w:pPr>
              <w:autoSpaceDE w:val="0"/>
              <w:autoSpaceDN w:val="0"/>
              <w:spacing w:before="1" w:line="240" w:lineRule="auto"/>
              <w:ind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变化</w:t>
            </w:r>
          </w:p>
        </w:tc>
        <w:tc>
          <w:tcPr>
            <w:tcW w:w="146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基础冲刷</w:t>
            </w:r>
          </w:p>
        </w:tc>
        <w:tc>
          <w:tcPr>
            <w:tcW w:w="259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基础冲刷深度</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c>
          <w:tcPr>
            <w:tcW w:w="854" w:type="dxa"/>
            <w:tcBorders>
              <w:top w:val="single" w:color="231F20" w:sz="4" w:space="0"/>
              <w:left w:val="single" w:color="231F20" w:sz="4" w:space="0"/>
              <w:bottom w:val="single" w:color="231F20" w:sz="4" w:space="0"/>
              <w:right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宋体"/>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0" w:type="dxa"/>
            <w:vMerge w:val="continue"/>
            <w:tcBorders>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46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基础</w:t>
            </w:r>
            <w:r>
              <w:rPr>
                <w:rFonts w:ascii="宋体" w:hAnsi="宋体" w:cs="华光书宋_CNKI"/>
                <w:w w:val="105"/>
                <w:kern w:val="0"/>
                <w:sz w:val="21"/>
                <w:szCs w:val="21"/>
                <w:lang w:eastAsia="en-US"/>
              </w:rPr>
              <w:t>沉降</w:t>
            </w:r>
          </w:p>
        </w:tc>
        <w:tc>
          <w:tcPr>
            <w:tcW w:w="259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基础沉降量</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right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0" w:type="dxa"/>
            <w:vMerge w:val="continue"/>
            <w:tcBorders>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464"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88" w:lineRule="exact"/>
              <w:ind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伸缩缝变位</w:t>
            </w:r>
          </w:p>
        </w:tc>
        <w:tc>
          <w:tcPr>
            <w:tcW w:w="259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hint="eastAsia" w:ascii="宋体" w:hAnsi="宋体" w:cs="华光书宋_CNKI"/>
                <w:w w:val="105"/>
                <w:kern w:val="0"/>
                <w:sz w:val="21"/>
                <w:szCs w:val="21"/>
                <w:lang w:eastAsia="en-US"/>
              </w:rPr>
              <w:t>伸缩缝宽度</w:t>
            </w:r>
          </w:p>
        </w:tc>
        <w:tc>
          <w:tcPr>
            <w:tcW w:w="854" w:type="dxa"/>
            <w:tcBorders>
              <w:top w:val="single" w:color="231F20" w:sz="4" w:space="0"/>
              <w:left w:val="single" w:color="231F20" w:sz="4" w:space="0"/>
              <w:bottom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right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0" w:type="dxa"/>
            <w:vMerge w:val="continue"/>
            <w:tcBorders>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464" w:type="dxa"/>
            <w:vMerge w:val="restart"/>
            <w:tcBorders>
              <w:top w:val="single" w:color="231F20" w:sz="4" w:space="0"/>
              <w:left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裂缝</w:t>
            </w:r>
          </w:p>
        </w:tc>
        <w:tc>
          <w:tcPr>
            <w:tcW w:w="2596" w:type="dxa"/>
            <w:tcBorders>
              <w:top w:val="single" w:color="231F20" w:sz="4" w:space="0"/>
              <w:left w:val="single" w:color="231F20" w:sz="4" w:space="0"/>
              <w:bottom w:val="single" w:color="231F20" w:sz="4" w:space="0"/>
              <w:right w:val="single" w:color="231F20" w:sz="4" w:space="0"/>
            </w:tcBorders>
            <w:vAlign w:val="center"/>
          </w:tcPr>
          <w:p>
            <w:pPr>
              <w:autoSpaceDE w:val="0"/>
              <w:autoSpaceDN w:val="0"/>
              <w:spacing w:before="37" w:line="288" w:lineRule="exact"/>
              <w:ind w:right="104" w:firstLine="0" w:firstLineChars="0"/>
              <w:jc w:val="center"/>
              <w:rPr>
                <w:rFonts w:ascii="宋体" w:hAnsi="宋体" w:cs="华光书宋_CNKI"/>
                <w:w w:val="105"/>
                <w:kern w:val="0"/>
                <w:sz w:val="21"/>
                <w:szCs w:val="21"/>
                <w:lang w:eastAsia="zh-CN"/>
              </w:rPr>
            </w:pPr>
            <w:r>
              <w:rPr>
                <w:rFonts w:ascii="宋体" w:hAnsi="宋体" w:cs="华光书宋_CNKI"/>
                <w:w w:val="105"/>
                <w:kern w:val="0"/>
                <w:sz w:val="21"/>
                <w:szCs w:val="21"/>
                <w:lang w:eastAsia="zh-CN"/>
              </w:rPr>
              <w:t>混凝土结构</w:t>
            </w:r>
            <w:r>
              <w:rPr>
                <w:rFonts w:hint="eastAsia" w:ascii="宋体" w:hAnsi="宋体" w:cs="华光书宋_CNKI"/>
                <w:w w:val="105"/>
                <w:kern w:val="0"/>
                <w:sz w:val="21"/>
                <w:szCs w:val="21"/>
                <w:lang w:eastAsia="zh-CN"/>
              </w:rPr>
              <w:t>结构性</w:t>
            </w:r>
            <w:r>
              <w:rPr>
                <w:rFonts w:ascii="宋体" w:hAnsi="宋体" w:cs="华光书宋_CNKI"/>
                <w:w w:val="105"/>
                <w:kern w:val="0"/>
                <w:sz w:val="21"/>
                <w:szCs w:val="21"/>
                <w:lang w:eastAsia="zh-CN"/>
              </w:rPr>
              <w:t>裂缝</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right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c>
          <w:tcPr>
            <w:tcW w:w="854" w:type="dxa"/>
            <w:tcBorders>
              <w:top w:val="single" w:color="231F20" w:sz="4" w:space="0"/>
              <w:left w:val="single" w:color="231F20" w:sz="4" w:space="0"/>
              <w:bottom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0" w:type="dxa"/>
            <w:vMerge w:val="continue"/>
            <w:tcBorders>
              <w:right w:val="single" w:color="231F20" w:sz="4" w:space="0"/>
            </w:tcBorders>
            <w:vAlign w:val="center"/>
          </w:tcPr>
          <w:p>
            <w:pPr>
              <w:autoSpaceDE w:val="0"/>
              <w:autoSpaceDN w:val="0"/>
              <w:ind w:firstLine="420"/>
              <w:jc w:val="center"/>
              <w:rPr>
                <w:rFonts w:ascii="宋体" w:hAnsi="宋体"/>
                <w:kern w:val="0"/>
                <w:sz w:val="21"/>
                <w:szCs w:val="21"/>
                <w:lang w:eastAsia="en-US"/>
              </w:rPr>
            </w:pPr>
          </w:p>
        </w:tc>
        <w:tc>
          <w:tcPr>
            <w:tcW w:w="1464" w:type="dxa"/>
            <w:vMerge w:val="continue"/>
            <w:tcBorders>
              <w:top w:val="nil"/>
              <w:left w:val="single" w:color="231F20" w:sz="4" w:space="0"/>
              <w:right w:val="single" w:color="231F20" w:sz="4" w:space="0"/>
            </w:tcBorders>
            <w:vAlign w:val="center"/>
          </w:tcPr>
          <w:p>
            <w:pPr>
              <w:autoSpaceDE w:val="0"/>
              <w:autoSpaceDN w:val="0"/>
              <w:spacing w:before="37" w:line="240" w:lineRule="auto"/>
              <w:ind w:left="120" w:right="104" w:firstLine="441" w:firstLineChars="0"/>
              <w:jc w:val="center"/>
              <w:rPr>
                <w:rFonts w:ascii="宋体" w:hAnsi="宋体" w:cs="华光书宋_CNKI"/>
                <w:w w:val="105"/>
                <w:kern w:val="0"/>
                <w:sz w:val="21"/>
                <w:szCs w:val="21"/>
                <w:lang w:eastAsia="en-US"/>
              </w:rPr>
            </w:pPr>
          </w:p>
        </w:tc>
        <w:tc>
          <w:tcPr>
            <w:tcW w:w="2596" w:type="dxa"/>
            <w:tcBorders>
              <w:top w:val="single" w:color="231F20" w:sz="4" w:space="0"/>
              <w:left w:val="single" w:color="231F20" w:sz="4" w:space="0"/>
              <w:right w:val="single" w:color="231F20" w:sz="4" w:space="0"/>
            </w:tcBorders>
            <w:vAlign w:val="center"/>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钢结构</w:t>
            </w:r>
            <w:r>
              <w:rPr>
                <w:rFonts w:hint="eastAsia" w:ascii="宋体" w:hAnsi="宋体" w:cs="华光书宋_CNKI"/>
                <w:w w:val="105"/>
                <w:kern w:val="0"/>
                <w:sz w:val="21"/>
                <w:szCs w:val="21"/>
                <w:lang w:eastAsia="en-US"/>
              </w:rPr>
              <w:t>结构性</w:t>
            </w:r>
            <w:r>
              <w:rPr>
                <w:rFonts w:ascii="宋体" w:hAnsi="宋体" w:cs="华光书宋_CNKI"/>
                <w:w w:val="105"/>
                <w:kern w:val="0"/>
                <w:sz w:val="21"/>
                <w:szCs w:val="21"/>
                <w:lang w:eastAsia="en-US"/>
              </w:rPr>
              <w:t>裂缝</w:t>
            </w:r>
          </w:p>
        </w:tc>
        <w:tc>
          <w:tcPr>
            <w:tcW w:w="854" w:type="dxa"/>
            <w:tcBorders>
              <w:top w:val="single" w:color="231F20" w:sz="4" w:space="0"/>
              <w:left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c>
          <w:tcPr>
            <w:tcW w:w="854" w:type="dxa"/>
            <w:tcBorders>
              <w:top w:val="single" w:color="231F20" w:sz="4" w:space="0"/>
              <w:left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c>
          <w:tcPr>
            <w:tcW w:w="854" w:type="dxa"/>
            <w:tcBorders>
              <w:top w:val="single" w:color="231F20" w:sz="4" w:space="0"/>
              <w:left w:val="single" w:color="231F20" w:sz="4" w:space="0"/>
              <w:right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c>
          <w:tcPr>
            <w:tcW w:w="854" w:type="dxa"/>
            <w:tcBorders>
              <w:top w:val="single" w:color="231F20" w:sz="4" w:space="0"/>
              <w:left w:val="single" w:color="231F20" w:sz="4" w:space="0"/>
            </w:tcBorders>
          </w:tcPr>
          <w:p>
            <w:pPr>
              <w:autoSpaceDE w:val="0"/>
              <w:autoSpaceDN w:val="0"/>
              <w:spacing w:before="37" w:line="240" w:lineRule="auto"/>
              <w:ind w:right="104" w:firstLine="0" w:firstLineChars="0"/>
              <w:jc w:val="center"/>
              <w:rPr>
                <w:rFonts w:ascii="宋体" w:hAnsi="宋体" w:cs="华光书宋_CNKI"/>
                <w:w w:val="105"/>
                <w:kern w:val="0"/>
                <w:sz w:val="21"/>
                <w:szCs w:val="21"/>
                <w:lang w:eastAsia="en-US"/>
              </w:rPr>
            </w:pPr>
            <w:r>
              <w:rPr>
                <w:rFonts w:ascii="宋体" w:hAnsi="宋体" w:cs="华光书宋_CNKI"/>
                <w:w w:val="105"/>
                <w:kern w:val="0"/>
                <w:sz w:val="21"/>
                <w:szCs w:val="21"/>
                <w:lang w:eastAsia="en-US"/>
              </w:rPr>
              <w:t>○</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340" w:hRule="atLeast"/>
        </w:trPr>
        <w:tc>
          <w:tcPr>
            <w:tcW w:w="8306" w:type="dxa"/>
            <w:gridSpan w:val="7"/>
            <w:vAlign w:val="center"/>
          </w:tcPr>
          <w:p>
            <w:pPr>
              <w:autoSpaceDE w:val="0"/>
              <w:autoSpaceDN w:val="0"/>
              <w:spacing w:before="32" w:line="288" w:lineRule="exact"/>
              <w:ind w:left="120" w:right="104" w:firstLine="0" w:firstLineChars="0"/>
              <w:jc w:val="left"/>
              <w:rPr>
                <w:rFonts w:ascii="宋体" w:hAnsi="宋体" w:cs="华光书宋_CNKI"/>
                <w:w w:val="105"/>
                <w:kern w:val="0"/>
                <w:sz w:val="21"/>
                <w:szCs w:val="21"/>
                <w:lang w:eastAsia="zh-CN"/>
              </w:rPr>
            </w:pPr>
            <w:r>
              <w:rPr>
                <w:rFonts w:hint="eastAsia" w:ascii="宋体" w:hAnsi="宋体" w:cs="华光书宋_CNKI"/>
                <w:w w:val="105"/>
                <w:kern w:val="0"/>
                <w:sz w:val="21"/>
                <w:szCs w:val="21"/>
                <w:lang w:eastAsia="zh-CN"/>
              </w:rPr>
              <w:t>注</w:t>
            </w:r>
            <w:r>
              <w:rPr>
                <w:rFonts w:ascii="宋体" w:hAnsi="宋体" w:cs="华光书宋_CNKI"/>
                <w:w w:val="105"/>
                <w:kern w:val="0"/>
                <w:sz w:val="21"/>
                <w:szCs w:val="21"/>
                <w:lang w:eastAsia="zh-CN"/>
              </w:rPr>
              <w:t>：</w:t>
            </w:r>
            <w:r>
              <w:rPr>
                <w:rFonts w:hint="eastAsia" w:ascii="宋体" w:hAnsi="宋体" w:cs="华光书宋_CNKI"/>
                <w:w w:val="105"/>
                <w:kern w:val="0"/>
                <w:sz w:val="21"/>
                <w:szCs w:val="21"/>
                <w:lang w:eastAsia="zh-CN"/>
              </w:rPr>
              <w:t>1 ●</w:t>
            </w:r>
            <w:r>
              <w:rPr>
                <w:rFonts w:ascii="宋体" w:hAnsi="宋体" w:cs="华光书宋_CNKI"/>
                <w:w w:val="105"/>
                <w:kern w:val="0"/>
                <w:sz w:val="21"/>
                <w:szCs w:val="21"/>
                <w:lang w:eastAsia="zh-CN"/>
              </w:rPr>
              <w:t>为应选监测项</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为宜选监测项</w:t>
            </w:r>
            <w:r>
              <w:rPr>
                <w:rFonts w:hint="eastAsia" w:ascii="宋体" w:hAnsi="宋体" w:cs="华光书宋_CNKI"/>
                <w:w w:val="105"/>
                <w:kern w:val="0"/>
                <w:sz w:val="21"/>
                <w:szCs w:val="21"/>
                <w:lang w:eastAsia="zh-CN"/>
              </w:rPr>
              <w:t>，◎</w:t>
            </w:r>
            <w:r>
              <w:rPr>
                <w:rFonts w:ascii="宋体" w:hAnsi="宋体" w:cs="华光书宋_CNKI"/>
                <w:w w:val="105"/>
                <w:kern w:val="0"/>
                <w:sz w:val="21"/>
                <w:szCs w:val="21"/>
                <w:lang w:eastAsia="zh-CN"/>
              </w:rPr>
              <w:t>为可选监测项</w:t>
            </w:r>
            <w:r>
              <w:rPr>
                <w:rFonts w:hint="eastAsia" w:ascii="宋体" w:hAnsi="宋体" w:cs="华光书宋_CNKI"/>
                <w:w w:val="105"/>
                <w:kern w:val="0"/>
                <w:sz w:val="21"/>
                <w:szCs w:val="21"/>
                <w:lang w:eastAsia="zh-CN"/>
              </w:rPr>
              <w:t>，/表示</w:t>
            </w:r>
            <w:r>
              <w:rPr>
                <w:rFonts w:ascii="宋体" w:hAnsi="宋体" w:cs="华光书宋_CNKI"/>
                <w:w w:val="105"/>
                <w:kern w:val="0"/>
                <w:sz w:val="21"/>
                <w:szCs w:val="21"/>
                <w:lang w:eastAsia="zh-CN"/>
              </w:rPr>
              <w:t>无</w:t>
            </w:r>
            <w:r>
              <w:rPr>
                <w:rFonts w:hint="eastAsia" w:ascii="宋体" w:hAnsi="宋体" w:cs="华光书宋_CNKI"/>
                <w:w w:val="105"/>
                <w:kern w:val="0"/>
                <w:sz w:val="21"/>
                <w:szCs w:val="21"/>
                <w:lang w:eastAsia="zh-CN"/>
              </w:rPr>
              <w:t>此</w:t>
            </w:r>
            <w:r>
              <w:rPr>
                <w:rFonts w:ascii="宋体" w:hAnsi="宋体" w:cs="华光书宋_CNKI"/>
                <w:w w:val="105"/>
                <w:kern w:val="0"/>
                <w:sz w:val="21"/>
                <w:szCs w:val="21"/>
                <w:lang w:eastAsia="zh-CN"/>
              </w:rPr>
              <w:t>监测项</w:t>
            </w:r>
            <w:r>
              <w:rPr>
                <w:rFonts w:hint="eastAsia" w:ascii="宋体" w:hAnsi="宋体" w:cs="华光书宋_CNKI"/>
                <w:w w:val="105"/>
                <w:kern w:val="0"/>
                <w:sz w:val="21"/>
                <w:szCs w:val="21"/>
                <w:lang w:eastAsia="zh-CN"/>
              </w:rPr>
              <w:t>。</w:t>
            </w:r>
          </w:p>
        </w:tc>
      </w:tr>
    </w:tbl>
    <w:p>
      <w:pPr>
        <w:ind w:firstLine="480"/>
      </w:pPr>
    </w:p>
    <w:p>
      <w:pPr>
        <w:pStyle w:val="4"/>
      </w:pPr>
      <w:r>
        <w:rPr>
          <w:rFonts w:hint="eastAsia"/>
        </w:rPr>
        <w:t>监测测点的布设位置应能够反映环境、作用、结构响应和结构变化的特征，应根据结构类型、设计要求、施工情况、监测项目及结构分析结果确定。</w:t>
      </w:r>
    </w:p>
    <w:p>
      <w:pPr>
        <w:pStyle w:val="4"/>
      </w:pPr>
      <w:r>
        <w:rPr>
          <w:rFonts w:hint="eastAsia"/>
        </w:rPr>
        <w:t>结构响应和结构变化监测的测点宜布置在受力较大、变形较大、易损、影响主要构件安全耐久和结构整体安全的位置、已有病害和损伤的部位。</w:t>
      </w:r>
    </w:p>
    <w:p>
      <w:pPr>
        <w:pStyle w:val="4"/>
      </w:pPr>
      <w:r>
        <w:rPr>
          <w:rFonts w:hint="eastAsia"/>
        </w:rPr>
        <w:t>对重要部位和性能退化及损伤劣化严重的桥梁构件监测测点、传感器难以更换或易损的监测测点应有冗余量。</w:t>
      </w:r>
    </w:p>
    <w:p>
      <w:pPr>
        <w:pStyle w:val="4"/>
      </w:pPr>
      <w:r>
        <w:t>对关键构件</w:t>
      </w:r>
      <w:r>
        <w:rPr>
          <w:rFonts w:hint="eastAsia"/>
        </w:rPr>
        <w:t>的应测</w:t>
      </w:r>
      <w:r>
        <w:t>监测内容</w:t>
      </w:r>
      <w:r>
        <w:rPr>
          <w:rFonts w:hint="eastAsia"/>
        </w:rPr>
        <w:t>，宜</w:t>
      </w:r>
      <w:r>
        <w:t>布设校核测点</w:t>
      </w:r>
      <w:r>
        <w:rPr>
          <w:rFonts w:hint="eastAsia"/>
        </w:rPr>
        <w:t>。</w:t>
      </w:r>
    </w:p>
    <w:p>
      <w:pPr>
        <w:pStyle w:val="4"/>
      </w:pPr>
      <w:r>
        <w:rPr>
          <w:rFonts w:hint="eastAsia"/>
        </w:rPr>
        <w:t>位移监测测点应按《城市</w:t>
      </w:r>
      <w:r>
        <w:t>桥梁养护技术标准</w:t>
      </w:r>
      <w:r>
        <w:rPr>
          <w:rFonts w:hint="eastAsia"/>
        </w:rPr>
        <w:t>》CJJ99中规定的桥梁永久观测点统筹布设。</w:t>
      </w:r>
    </w:p>
    <w:p>
      <w:pPr>
        <w:pStyle w:val="4"/>
      </w:pPr>
      <w:r>
        <w:rPr>
          <w:rFonts w:hint="eastAsia"/>
        </w:rPr>
        <w:t>环境监测测点布设应</w:t>
      </w:r>
      <w:r>
        <w:t>符合</w:t>
      </w:r>
      <w:r>
        <w:rPr>
          <w:rFonts w:hint="eastAsia"/>
        </w:rPr>
        <w:t>下列规定：</w:t>
      </w:r>
    </w:p>
    <w:p>
      <w:pPr>
        <w:ind w:firstLine="480"/>
      </w:pPr>
      <w:r>
        <w:rPr>
          <w:rFonts w:hint="eastAsia"/>
        </w:rPr>
        <w:t>1 桥址区环境温度和湿度的监测测点宜布设在桥梁跨中位置，可根据桥梁结构类型、联长、跨径、桥面宽度和构造增设监测测点。</w:t>
      </w:r>
    </w:p>
    <w:p>
      <w:pPr>
        <w:ind w:firstLine="480"/>
      </w:pPr>
      <w:r>
        <w:rPr>
          <w:rFonts w:hint="eastAsia"/>
        </w:rPr>
        <w:t>2 对于桥梁构件封闭空间，温度和湿度监测测点应布设于桥梁结构内外温度、湿度变化较大和对温度、湿度敏感的部位。</w:t>
      </w:r>
    </w:p>
    <w:p>
      <w:pPr>
        <w:ind w:firstLine="480"/>
      </w:pPr>
      <w:r>
        <w:rPr>
          <w:rFonts w:hint="eastAsia"/>
        </w:rPr>
        <w:t>3 降雨量监测测点宜布设在桥梁开阔部位。</w:t>
      </w:r>
    </w:p>
    <w:p>
      <w:pPr>
        <w:ind w:firstLine="480"/>
      </w:pPr>
      <w:r>
        <w:rPr>
          <w:rFonts w:hint="eastAsia"/>
        </w:rPr>
        <w:t>4 缆、索结冰视频监测测点可布设在近塔顶，吊杆（索）结冰视频监测测点可布设于主拱。</w:t>
      </w:r>
    </w:p>
    <w:p>
      <w:pPr>
        <w:ind w:firstLine="480"/>
      </w:pPr>
      <w:r>
        <w:rPr>
          <w:rFonts w:hint="eastAsia"/>
        </w:rPr>
        <w:t>5 能见度监测测点应布设在桥梁开阔部位。</w:t>
      </w:r>
    </w:p>
    <w:p>
      <w:pPr>
        <w:pStyle w:val="4"/>
      </w:pPr>
      <w:r>
        <w:rPr>
          <w:rFonts w:hint="eastAsia"/>
        </w:rPr>
        <w:t>作用监测测点布设应</w:t>
      </w:r>
      <w:r>
        <w:t>符合</w:t>
      </w:r>
      <w:r>
        <w:rPr>
          <w:rFonts w:hint="eastAsia"/>
        </w:rPr>
        <w:t>下列规定：</w:t>
      </w:r>
    </w:p>
    <w:p>
      <w:pPr>
        <w:ind w:firstLine="480"/>
      </w:pPr>
      <w:r>
        <w:rPr>
          <w:rFonts w:hint="eastAsia"/>
        </w:rPr>
        <w:t>1 车辆荷载监测测点应覆盖所有机动车行车道，且宜选择在上桥方向的路基或有稳定墩柱支撑的混凝土结构铺装层内。</w:t>
      </w:r>
    </w:p>
    <w:p>
      <w:pPr>
        <w:ind w:firstLine="480"/>
      </w:pPr>
      <w:r>
        <w:rPr>
          <w:rFonts w:hint="eastAsia"/>
        </w:rPr>
        <w:t>2 人群荷载人流量监测测点应布置在上下桥的出入口处。</w:t>
      </w:r>
    </w:p>
    <w:p>
      <w:pPr>
        <w:ind w:firstLine="480"/>
      </w:pPr>
      <w:r>
        <w:rPr>
          <w:rFonts w:hint="eastAsia"/>
        </w:rPr>
        <w:t>3 风速风向监测测点应能监测自由场风速和风向，风速风向和风压监测测点应符合下列规定：</w:t>
      </w:r>
    </w:p>
    <w:p>
      <w:pPr>
        <w:ind w:firstLine="480"/>
      </w:pPr>
      <w:r>
        <w:rPr>
          <w:rFonts w:hint="eastAsia"/>
        </w:rPr>
        <w:t>1）跨度小于1500m悬索桥应在主梁跨中上、下游两侧和塔顶各布设一个风速风向监测测点；跨度大于等于1500m悬索桥，宜在1/4、3/4主跨增加风速风向监测测点；可在跨中和1/4、3/4 主跨断面布设风压监测测点；</w:t>
      </w:r>
    </w:p>
    <w:p>
      <w:pPr>
        <w:ind w:firstLine="480"/>
      </w:pPr>
      <w:r>
        <w:rPr>
          <w:rFonts w:hint="eastAsia"/>
        </w:rPr>
        <w:t>2）跨度小于800m斜拉桥宜在主梁跨中上、下游两侧和塔顶各布设一个风速风向监测测点；跨度大于等于800m斜拉桥，结合风场空间相关性，宜增加风速风向监测测点；</w:t>
      </w:r>
    </w:p>
    <w:p>
      <w:pPr>
        <w:ind w:firstLine="480"/>
      </w:pPr>
      <w:r>
        <w:rPr>
          <w:rFonts w:hint="eastAsia"/>
        </w:rPr>
        <w:t>3）位于强（台）风区的钢结构大跨度梁桥可在主跨跨中布设风速风向监测测点；</w:t>
      </w:r>
    </w:p>
    <w:p>
      <w:pPr>
        <w:ind w:firstLine="480"/>
      </w:pPr>
      <w:r>
        <w:rPr>
          <w:rFonts w:hint="eastAsia"/>
        </w:rPr>
        <w:t>4）中、下承式拱桥应在主梁跨中布设风速风向监测测点，风环境复杂时可在拱顶增设风速风向监测测点；位于强（台）风区的上承式拱桥可在主梁跨中布设风速风向监测测点。</w:t>
      </w:r>
    </w:p>
    <w:p>
      <w:pPr>
        <w:ind w:firstLine="480"/>
      </w:pPr>
      <w:r>
        <w:rPr>
          <w:rFonts w:hint="eastAsia"/>
        </w:rPr>
        <w:t>4 结构温度监测测点应根据桥梁结构温度场分布特点并结合结构类型、联长、跨径、构件尺寸、铺装体系、日照情况等因素综合确定。应变监测的温度补偿测点宜兼顾结构温度监测测点协同布设。</w:t>
      </w:r>
    </w:p>
    <w:p>
      <w:pPr>
        <w:ind w:firstLine="480"/>
      </w:pPr>
      <w:r>
        <w:rPr>
          <w:rFonts w:hint="eastAsia"/>
        </w:rPr>
        <w:t>5 船舶撞击监测测点宜布设在有船撞风险的桥墩底部或承台顶部的水位变动区以上，视频监测测点宜在主梁上、下游两侧对称布设。</w:t>
      </w:r>
    </w:p>
    <w:p>
      <w:pPr>
        <w:ind w:firstLine="480"/>
      </w:pPr>
      <w:r>
        <w:rPr>
          <w:rFonts w:hint="eastAsia"/>
        </w:rPr>
        <w:t>6 车辆撞击监测测点宜布设于有大型车辆撞击风险的桥墩下部，视频监测测点宜布设于桥墩上部或主梁上的来车方向侧。</w:t>
      </w:r>
    </w:p>
    <w:p>
      <w:pPr>
        <w:ind w:firstLine="480"/>
      </w:pPr>
      <w:r>
        <w:rPr>
          <w:rFonts w:hint="eastAsia"/>
        </w:rPr>
        <w:t>7 地震动监测测点宜布设于桥梁主墩底部或承台顶部接近大地的位置，可布设于桥梁锚碇锚室内，近桥址监控中心等自由场地。长度小于800m的桥梁，不应少于一个监测测点；长度大于等于800m的桥梁，宜增加监测测点。</w:t>
      </w:r>
    </w:p>
    <w:p>
      <w:pPr>
        <w:pStyle w:val="4"/>
      </w:pPr>
      <w:r>
        <w:rPr>
          <w:rFonts w:hint="eastAsia"/>
        </w:rPr>
        <w:t>结构响应监测测点布设应符合下列规定：</w:t>
      </w:r>
    </w:p>
    <w:p>
      <w:pPr>
        <w:ind w:firstLine="480"/>
      </w:pPr>
      <w:r>
        <w:rPr>
          <w:rFonts w:hint="eastAsia"/>
        </w:rPr>
        <w:t>1 结构位移监测测点布设应符合下列规定：</w:t>
      </w:r>
    </w:p>
    <w:p>
      <w:pPr>
        <w:ind w:firstLine="480"/>
      </w:pPr>
      <w:r>
        <w:rPr>
          <w:rFonts w:hint="eastAsia"/>
        </w:rPr>
        <w:t>1）主梁竖向位移监测测点应在主跨跨中和1/4、3/4 主跨，边跨最大活载位移处布设；对于宽幅桥面、中央索面或其他具有扭转监测需求的主梁，应在同一断面横向两侧位置布设监测测点；</w:t>
      </w:r>
    </w:p>
    <w:p>
      <w:pPr>
        <w:ind w:firstLine="480"/>
      </w:pPr>
      <w:r>
        <w:rPr>
          <w:rFonts w:hint="eastAsia"/>
        </w:rPr>
        <w:t>2）主梁横向位移监测测点应在主跨跨中布设；</w:t>
      </w:r>
    </w:p>
    <w:p>
      <w:pPr>
        <w:ind w:firstLine="480"/>
      </w:pPr>
      <w:r>
        <w:rPr>
          <w:rFonts w:hint="eastAsia"/>
        </w:rPr>
        <w:t>3）支座位移、主梁梁端纵向位移测点宜布设在墩顶梁端支座处，宜根据不同支座的功能和类型选择支座位移测量方向；</w:t>
      </w:r>
    </w:p>
    <w:p>
      <w:pPr>
        <w:ind w:firstLine="480"/>
      </w:pPr>
      <w:r>
        <w:rPr>
          <w:rFonts w:hint="eastAsia"/>
        </w:rPr>
        <w:t>4）塔顶偏位监测测点应布设于索塔顶部，拱顶位移监测测点应布设于主拱拱顶；</w:t>
      </w:r>
    </w:p>
    <w:p>
      <w:pPr>
        <w:ind w:firstLine="480"/>
      </w:pPr>
      <w:r>
        <w:rPr>
          <w:rFonts w:hint="eastAsia"/>
        </w:rPr>
        <w:t>5）主缆偏位监测测点宜在主跨跨中和1/4、3/4主跨；</w:t>
      </w:r>
    </w:p>
    <w:p>
      <w:pPr>
        <w:ind w:firstLine="480"/>
      </w:pPr>
      <w:r>
        <w:rPr>
          <w:rFonts w:hint="eastAsia"/>
        </w:rPr>
        <w:t>6）高墩桥梁或纵坡较大的桥梁，桥墩的纵向和横向位移测点宜布设在墩顶；</w:t>
      </w:r>
    </w:p>
    <w:p>
      <w:pPr>
        <w:ind w:firstLine="480"/>
      </w:pPr>
      <w:r>
        <w:rPr>
          <w:rFonts w:hint="eastAsia"/>
        </w:rPr>
        <w:t>7）通过GNSS监测技术</w:t>
      </w:r>
      <w:r>
        <w:t>监测</w:t>
      </w:r>
      <w:r>
        <w:rPr>
          <w:rFonts w:hint="eastAsia"/>
        </w:rPr>
        <w:t>位移</w:t>
      </w:r>
      <w:r>
        <w:t>的</w:t>
      </w:r>
      <w:r>
        <w:rPr>
          <w:rFonts w:hint="eastAsia"/>
        </w:rPr>
        <w:t>监测</w:t>
      </w:r>
      <w:r>
        <w:t>测点天线</w:t>
      </w:r>
      <w:r>
        <w:rPr>
          <w:rFonts w:hint="eastAsia"/>
        </w:rPr>
        <w:t>应布设在桥梁开阔部位，其上方不得有遮挡物。</w:t>
      </w:r>
    </w:p>
    <w:p>
      <w:pPr>
        <w:ind w:firstLine="480"/>
      </w:pPr>
      <w:r>
        <w:rPr>
          <w:rFonts w:hint="eastAsia"/>
        </w:rPr>
        <w:t>2 塔顶转角监测测点宜布置在索塔塔顶，梁端水平和竖向转角监测测点宜布设在伸缩缝两端的主梁上。</w:t>
      </w:r>
    </w:p>
    <w:p>
      <w:pPr>
        <w:ind w:firstLine="480"/>
      </w:pPr>
      <w:r>
        <w:rPr>
          <w:rFonts w:hint="eastAsia"/>
        </w:rPr>
        <w:t>3 应变监测测点应符合下列规定：</w:t>
      </w:r>
    </w:p>
    <w:p>
      <w:pPr>
        <w:ind w:firstLine="480"/>
      </w:pPr>
      <w:r>
        <w:rPr>
          <w:rFonts w:hint="eastAsia"/>
        </w:rPr>
        <w:t>1）主梁、索塔、主拱等关键构件截面静态和动态应变监测测点位置和数量应根据结构计算分析和易损性分析，选择受力较大的关键截面布置在传力路线明确的部位，每个构件同一侧截面不宜少于2个监测点；</w:t>
      </w:r>
    </w:p>
    <w:p>
      <w:pPr>
        <w:ind w:firstLine="480"/>
      </w:pPr>
      <w:r>
        <w:rPr>
          <w:rFonts w:hint="eastAsia"/>
        </w:rPr>
        <w:t>2）正交异性钢桥面板动态应变监测测点应选择在重车道或行车道车轮轮迹线对应位置，宜布设在顶板、U肋和横隔板等疲劳热点处；</w:t>
      </w:r>
    </w:p>
    <w:p>
      <w:pPr>
        <w:ind w:firstLine="480"/>
      </w:pPr>
      <w:r>
        <w:rPr>
          <w:rFonts w:hint="eastAsia"/>
        </w:rPr>
        <w:t>3）受力复杂的构件截面和部位，宜布设三向静态和动态应变监测测点；</w:t>
      </w:r>
    </w:p>
    <w:p>
      <w:pPr>
        <w:ind w:firstLine="480"/>
      </w:pPr>
      <w:r>
        <w:rPr>
          <w:rFonts w:hint="eastAsia"/>
        </w:rPr>
        <w:t>4）钢混接合段宜布设应变监测测点，可布设在应变较大和应力集中处；</w:t>
      </w:r>
    </w:p>
    <w:p>
      <w:pPr>
        <w:ind w:firstLine="480"/>
      </w:pPr>
      <w:r>
        <w:rPr>
          <w:rFonts w:hint="eastAsia"/>
        </w:rPr>
        <w:t>5）圬工拱桥同一截面的上下缘宜布置应变监测点。</w:t>
      </w:r>
    </w:p>
    <w:p>
      <w:pPr>
        <w:ind w:firstLine="480"/>
      </w:pPr>
      <w:r>
        <w:rPr>
          <w:rFonts w:hint="eastAsia"/>
        </w:rPr>
        <w:t>4 索力监测测点应符合下列规定：</w:t>
      </w:r>
    </w:p>
    <w:p>
      <w:pPr>
        <w:ind w:firstLine="480"/>
      </w:pPr>
      <w:r>
        <w:rPr>
          <w:rFonts w:hint="eastAsia"/>
        </w:rPr>
        <w:t>1）应根据悬索桥吊索的布置形式、规格、型号、长短、索力和应力，确定监测的代表性索构件，应包括索力最大的索、应力幅最大的索及安全系数最小的索，宜选择上、下游索构件成对布设，同时应兼顾中跨和边跨；斜拉桥和拱桥宜对全桥斜拉索、吊杆（索）和系杆等索构件进行索力监测；</w:t>
      </w:r>
    </w:p>
    <w:p>
      <w:pPr>
        <w:ind w:firstLine="480"/>
      </w:pPr>
      <w:r>
        <w:rPr>
          <w:rFonts w:hint="eastAsia"/>
        </w:rPr>
        <w:t>2）悬索桥锚跨索股力监测的索股监测测点宜锚固索股四周布设，不宜少于8股，基准索股宜布设测点。</w:t>
      </w:r>
    </w:p>
    <w:p>
      <w:pPr>
        <w:ind w:firstLine="480"/>
      </w:pPr>
      <w:r>
        <w:rPr>
          <w:rFonts w:hint="eastAsia"/>
        </w:rPr>
        <w:t>5 支座反力监测宜选择可能出现横向失稳等倾覆性破坏的独柱墩桥梁和小间距支座桥梁、容易出现支座脱空或负反力的曲线桥和斜桥、基础易发生沉降或采用压重设计的桥梁的支座。非测力支座在运营期可通过间接监测支座变形、支座-梁相对位移、桥梁横向倾斜度等替代支座反力监测。</w:t>
      </w:r>
    </w:p>
    <w:p>
      <w:pPr>
        <w:ind w:firstLine="480"/>
      </w:pPr>
      <w:r>
        <w:rPr>
          <w:rFonts w:hint="eastAsia"/>
        </w:rPr>
        <w:t>6 结构振动监测测点应符合下列规定：</w:t>
      </w:r>
    </w:p>
    <w:p>
      <w:pPr>
        <w:ind w:firstLine="480"/>
      </w:pPr>
      <w:r>
        <w:rPr>
          <w:rFonts w:hint="eastAsia"/>
        </w:rPr>
        <w:t>1）主梁竖向和横向振动监测测点应根据主梁振动振型确定，宜根据待测目标振型布设在振型各峰值点处，避开振型节点，每跨应至少有1个监测测点；主梁纵向振动监测测点宜布设在塔梁固接处或中间支座位置处；</w:t>
      </w:r>
    </w:p>
    <w:p>
      <w:pPr>
        <w:ind w:firstLine="480"/>
      </w:pPr>
      <w:r>
        <w:rPr>
          <w:rFonts w:hint="eastAsia"/>
        </w:rPr>
        <w:t>2）塔顶水平振动监测测点应在塔顶双向布设；</w:t>
      </w:r>
    </w:p>
    <w:p>
      <w:pPr>
        <w:ind w:firstLine="480"/>
      </w:pPr>
      <w:r>
        <w:rPr>
          <w:rFonts w:hint="eastAsia"/>
        </w:rPr>
        <w:t>3）宜选择振动幅值大的悬索桥吊索、斜拉桥斜拉索、拱桥吊杆（索）等索构件布设振动监测测点，测点应根据索构件振动振型确定，避开振型节点；对索面内和索面外均存在较大振动的情况，可双向布设；</w:t>
      </w:r>
    </w:p>
    <w:p>
      <w:pPr>
        <w:ind w:firstLine="480"/>
      </w:pPr>
      <w:r>
        <w:rPr>
          <w:rFonts w:hint="eastAsia"/>
        </w:rPr>
        <w:t>4）梁桥桥墩纵向和横向振动监测测点应在桥墩顶部布设；</w:t>
      </w:r>
    </w:p>
    <w:p>
      <w:pPr>
        <w:ind w:firstLine="480"/>
      </w:pPr>
      <w:r>
        <w:rPr>
          <w:rFonts w:hint="eastAsia"/>
        </w:rPr>
        <w:t>5）主拱振动监测测点应根据主拱振型确定，宜布设在振型峰值点处，避开振型节点。</w:t>
      </w:r>
    </w:p>
    <w:p>
      <w:pPr>
        <w:pStyle w:val="4"/>
      </w:pPr>
      <w:r>
        <w:rPr>
          <w:rFonts w:hint="eastAsia"/>
        </w:rPr>
        <w:t>结构变化监测测点布设应符合下列规定：</w:t>
      </w:r>
    </w:p>
    <w:p>
      <w:pPr>
        <w:ind w:firstLine="480"/>
      </w:pPr>
      <w:r>
        <w:rPr>
          <w:rFonts w:hint="eastAsia"/>
        </w:rPr>
        <w:t>1 基础冲刷监测测点布设应根据基础冲刷风险分析确定监测桥墩和测点位置，也可根据冲刷检查（测）结果或冲刷专题研究确定。圆形桥墩宜布设在桥墩上、下游两侧；圆端形长条形桥墩宜布设在桥墩上、下游；最大冲刷位置已知时，在最大冲刷位置处应布设监测测点；冲刷较严重情况宜在周边侧面增加监测测点。基础冲刷传感器应避开桥梁被动防撞装置。</w:t>
      </w:r>
    </w:p>
    <w:p>
      <w:pPr>
        <w:ind w:firstLine="480"/>
      </w:pPr>
      <w:r>
        <w:rPr>
          <w:rFonts w:hint="eastAsia"/>
        </w:rPr>
        <w:t>2 悬索桥锚碇位移监测测点宜布设于锚体和前支墩处；沉降监测测点宜布设于桥墩、桥台、锚碇接近地面的位置，条件受限时可布设于桥墩、桥台或锚碇上部，但应剔除温度和墩台偏位等影响；拱桥拱脚位移监测测点宜布设于拱脚承台处。</w:t>
      </w:r>
    </w:p>
    <w:p>
      <w:pPr>
        <w:ind w:firstLine="480"/>
      </w:pPr>
      <w:r>
        <w:rPr>
          <w:rFonts w:hint="eastAsia"/>
        </w:rPr>
        <w:t>3 混凝土结构和钢结构裂缝监测测点应依据检查（测）、技术状况评估、养护维修结果确定测点位置和数量，宜对结构性裂缝和宽度超限裂缝的宽度和长度变化进行监测。</w:t>
      </w:r>
    </w:p>
    <w:p>
      <w:pPr>
        <w:ind w:firstLine="480"/>
      </w:pPr>
      <w:r>
        <w:rPr>
          <w:rFonts w:hint="eastAsia"/>
        </w:rPr>
        <w:t>4 腐蚀监测测点宜布设在墩台水位变动、浪溅区的混凝土保护层内。</w:t>
      </w:r>
    </w:p>
    <w:p>
      <w:pPr>
        <w:ind w:firstLine="480"/>
      </w:pPr>
      <w:r>
        <w:rPr>
          <w:rFonts w:hint="eastAsia"/>
        </w:rPr>
        <w:t>5 依据《</w:t>
      </w:r>
      <w:r>
        <w:t>城市桥梁检测与评定技术规范</w:t>
      </w:r>
      <w:r>
        <w:rPr>
          <w:rFonts w:hint="eastAsia"/>
        </w:rPr>
        <w:t>》CJJ/T 233，缺损程度因钢丝锈蚀达到中等以下的悬索桥主缆和吊索、斜拉桥斜拉索、拱桥吊杆（索）和系杆，宜布设断丝监测测点，测点可布设在锚头端部位置或易腐蚀断丝位置。</w:t>
      </w:r>
    </w:p>
    <w:p>
      <w:pPr>
        <w:ind w:firstLine="480"/>
      </w:pPr>
      <w:r>
        <w:rPr>
          <w:rFonts w:hint="eastAsia"/>
        </w:rPr>
        <w:t>6 对于倾角较大的索夹和检查有错位、移动的索夹，宜布设索夹滑移和索夹螺栓状态监测测点。测点布设宜根据索夹类型、索夹倾角以及螺栓布置形式确定；高强螺栓状态监测测点位置和数量宜根据检查（测）、技术状况评估结果确定。</w:t>
      </w:r>
    </w:p>
    <w:p>
      <w:pPr>
        <w:ind w:firstLine="480"/>
      </w:pPr>
      <w:r>
        <w:rPr>
          <w:rFonts w:hint="eastAsia"/>
        </w:rPr>
        <w:t>7 斜拉桥和梁桥体外预应力监测测点位置和数量，宜根据梁体结构构造特点和预应力布设形式、位置确定。</w:t>
      </w:r>
    </w:p>
    <w:p>
      <w:pPr>
        <w:ind w:firstLine="480"/>
      </w:pPr>
      <w:r>
        <w:rPr>
          <w:rFonts w:hint="eastAsia"/>
        </w:rPr>
        <w:t>8 结构线形监测测点单孔每测线不宜少于10个监测点，跨中、1/4跨、3/4跨和变形最大位置应设置监测测点。主缆线形每孔不宜少于10 个点，沿索夹位置布设，主缆最低点和最高点应布设监测测点。索塔线形在桥面、桥面以上1/2塔高和塔顶应设置监测测点。</w:t>
      </w:r>
    </w:p>
    <w:p>
      <w:pPr>
        <w:ind w:firstLine="480"/>
      </w:pPr>
      <w:r>
        <w:rPr>
          <w:rFonts w:hint="eastAsia"/>
        </w:rPr>
        <w:t>9 伸缩缝宽度监测测点应布置在伸缩缝横桥向的两端。</w:t>
      </w:r>
    </w:p>
    <w:p>
      <w:pPr>
        <w:pStyle w:val="4"/>
        <w:sectPr>
          <w:pgSz w:w="11906" w:h="16838"/>
          <w:pgMar w:top="1440" w:right="1800" w:bottom="1440" w:left="1800" w:header="851" w:footer="992" w:gutter="0"/>
          <w:cols w:space="425" w:num="1"/>
          <w:docGrid w:type="lines" w:linePitch="312" w:charSpace="0"/>
        </w:sectPr>
      </w:pPr>
      <w:r>
        <w:rPr>
          <w:rFonts w:hint="eastAsia"/>
        </w:rPr>
        <w:t>梁桥、拱桥、斜拉桥和悬索桥的监测测点应按图4.2.2</w:t>
      </w:r>
      <w:r>
        <w:t>0</w:t>
      </w:r>
      <w:r>
        <w:rPr>
          <w:rFonts w:hint="eastAsia"/>
        </w:rPr>
        <w:t>-1～图4.2.2</w:t>
      </w:r>
      <w:r>
        <w:t>0</w:t>
      </w:r>
      <w:r>
        <w:rPr>
          <w:rFonts w:hint="eastAsia"/>
        </w:rPr>
        <w:t>-4所示布设。</w:t>
      </w:r>
    </w:p>
    <w:tbl>
      <w:tblPr>
        <w:tblStyle w:val="44"/>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8" w:type="dxa"/>
            <w:vAlign w:val="center"/>
          </w:tcPr>
          <w:p>
            <w:pPr>
              <w:widowControl/>
              <w:spacing w:line="240" w:lineRule="auto"/>
              <w:ind w:firstLine="0" w:firstLineChars="0"/>
              <w:jc w:val="center"/>
            </w:pPr>
            <w:r>
              <w:object>
                <v:shape id="_x0000_i1025" o:spt="75" type="#_x0000_t75" style="height:245.9pt;width:677.9pt;" o:ole="t" filled="f" o:preferrelative="t" stroked="f" coordsize="21600,21600">
                  <v:path/>
                  <v:fill on="f" focussize="0,0"/>
                  <v:stroke on="f" joinstyle="miter"/>
                  <v:imagedata r:id="rId16" cropleft="12364f" croptop="17135f" cropright="28548f" cropbottom="32146f" o:title=""/>
                  <o:lock v:ext="edit" aspectratio="t"/>
                  <w10:wrap type="none"/>
                  <w10:anchorlock/>
                </v:shape>
                <o:OLEObject Type="Embed" ProgID="AutoCAD.Drawing.19" ShapeID="_x0000_i1025" DrawAspect="Content" ObjectID="_1468075725" r:id="rId1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8" w:type="dxa"/>
            <w:vAlign w:val="center"/>
          </w:tcPr>
          <w:p>
            <w:pPr>
              <w:pStyle w:val="39"/>
            </w:pPr>
            <w:bookmarkStart w:id="23" w:name="_Ref130306405"/>
            <w:r>
              <w:rPr>
                <w:rFonts w:hint="eastAsia"/>
              </w:rPr>
              <w:t xml:space="preserve">图 </w:t>
            </w:r>
            <w:r>
              <w:fldChar w:fldCharType="begin"/>
            </w:r>
            <w:r>
              <w:instrText xml:space="preserve"> </w:instrText>
            </w:r>
            <w:r>
              <w:rPr>
                <w:rFonts w:hint="eastAsia"/>
              </w:rPr>
              <w:instrText xml:space="preserve">STYLEREF 3 \s</w:instrText>
            </w:r>
            <w:r>
              <w:instrText xml:space="preserve"> </w:instrText>
            </w:r>
            <w:r>
              <w:fldChar w:fldCharType="separate"/>
            </w:r>
            <w:r>
              <w:t>4.2.20</w:t>
            </w:r>
            <w:r>
              <w:fldChar w:fldCharType="end"/>
            </w:r>
            <w:r>
              <w:noBreakHyphen/>
            </w:r>
            <w:r>
              <w:fldChar w:fldCharType="begin"/>
            </w:r>
            <w:r>
              <w:instrText xml:space="preserve"> </w:instrText>
            </w:r>
            <w:r>
              <w:rPr>
                <w:rFonts w:hint="eastAsia"/>
              </w:rPr>
              <w:instrText xml:space="preserve">SEQ 图 \* ARABIC \s 3</w:instrText>
            </w:r>
            <w:r>
              <w:instrText xml:space="preserve"> </w:instrText>
            </w:r>
            <w:r>
              <w:fldChar w:fldCharType="separate"/>
            </w:r>
            <w:r>
              <w:t>1</w:t>
            </w:r>
            <w:r>
              <w:fldChar w:fldCharType="end"/>
            </w:r>
            <w:bookmarkEnd w:id="23"/>
            <w:r>
              <w:t xml:space="preserve"> </w:t>
            </w:r>
            <w:r>
              <w:rPr>
                <w:rFonts w:hint="eastAsia"/>
              </w:rPr>
              <w:t>梁桥测点布设示意图</w:t>
            </w:r>
          </w:p>
        </w:tc>
      </w:tr>
    </w:tbl>
    <w:p>
      <w:pPr>
        <w:widowControl/>
        <w:spacing w:line="240" w:lineRule="auto"/>
        <w:ind w:firstLine="0" w:firstLineChars="0"/>
        <w:jc w:val="left"/>
      </w:pPr>
    </w:p>
    <w:tbl>
      <w:tblPr>
        <w:tblStyle w:val="44"/>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8" w:type="dxa"/>
            <w:vAlign w:val="center"/>
          </w:tcPr>
          <w:p>
            <w:pPr>
              <w:widowControl/>
              <w:spacing w:line="240" w:lineRule="auto"/>
              <w:ind w:firstLine="0" w:firstLineChars="0"/>
              <w:jc w:val="center"/>
            </w:pPr>
            <w:r>
              <w:object>
                <v:shape id="_x0000_i1026" o:spt="75" type="#_x0000_t75" style="height:275.75pt;width:660.25pt;" o:ole="t" filled="f" o:preferrelative="t" stroked="f" coordsize="21600,21600">
                  <v:path/>
                  <v:fill on="f" focussize="0,0"/>
                  <v:stroke on="f" joinstyle="miter"/>
                  <v:imagedata r:id="rId18" cropleft="3479f" croptop="13972f" cropright="18844f" cropbottom="14856f" o:title=""/>
                  <o:lock v:ext="edit" aspectratio="t"/>
                  <w10:wrap type="none"/>
                  <w10:anchorlock/>
                </v:shape>
                <o:OLEObject Type="Embed" ProgID="AutoCAD.Drawing.19" ShapeID="_x0000_i1026" DrawAspect="Content" ObjectID="_1468075726" r:id="rId1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8" w:type="dxa"/>
            <w:vAlign w:val="center"/>
          </w:tcPr>
          <w:p>
            <w:pPr>
              <w:pStyle w:val="39"/>
            </w:pPr>
            <w:r>
              <w:rPr>
                <w:rFonts w:hint="eastAsia"/>
              </w:rPr>
              <w:t xml:space="preserve">图 </w:t>
            </w:r>
            <w:r>
              <w:fldChar w:fldCharType="begin"/>
            </w:r>
            <w:r>
              <w:instrText xml:space="preserve"> </w:instrText>
            </w:r>
            <w:r>
              <w:rPr>
                <w:rFonts w:hint="eastAsia"/>
              </w:rPr>
              <w:instrText xml:space="preserve">STYLEREF 3 \s</w:instrText>
            </w:r>
            <w:r>
              <w:instrText xml:space="preserve"> </w:instrText>
            </w:r>
            <w:r>
              <w:fldChar w:fldCharType="separate"/>
            </w:r>
            <w:r>
              <w:t>4.2.20</w:t>
            </w:r>
            <w:r>
              <w:fldChar w:fldCharType="end"/>
            </w:r>
            <w:r>
              <w:noBreakHyphen/>
            </w:r>
            <w:r>
              <w:fldChar w:fldCharType="begin"/>
            </w:r>
            <w:r>
              <w:instrText xml:space="preserve"> </w:instrText>
            </w:r>
            <w:r>
              <w:rPr>
                <w:rFonts w:hint="eastAsia"/>
              </w:rPr>
              <w:instrText xml:space="preserve">SEQ 图 \* ARABIC \s 3</w:instrText>
            </w:r>
            <w:r>
              <w:instrText xml:space="preserve"> </w:instrText>
            </w:r>
            <w:r>
              <w:fldChar w:fldCharType="separate"/>
            </w:r>
            <w:r>
              <w:t>2</w:t>
            </w:r>
            <w:r>
              <w:fldChar w:fldCharType="end"/>
            </w:r>
            <w:r>
              <w:t xml:space="preserve"> </w:t>
            </w:r>
            <w:r>
              <w:rPr>
                <w:rFonts w:hint="eastAsia"/>
              </w:rPr>
              <w:t>拱桥测点布设示意图</w:t>
            </w:r>
          </w:p>
        </w:tc>
      </w:tr>
    </w:tbl>
    <w:p>
      <w:pPr>
        <w:widowControl/>
        <w:spacing w:line="240" w:lineRule="auto"/>
        <w:ind w:firstLine="0" w:firstLineChars="0"/>
        <w:jc w:val="left"/>
      </w:pPr>
    </w:p>
    <w:tbl>
      <w:tblPr>
        <w:tblStyle w:val="44"/>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8" w:type="dxa"/>
            <w:vAlign w:val="center"/>
          </w:tcPr>
          <w:p>
            <w:pPr>
              <w:widowControl/>
              <w:spacing w:line="240" w:lineRule="auto"/>
              <w:ind w:firstLine="0" w:firstLineChars="0"/>
              <w:jc w:val="center"/>
            </w:pPr>
            <w:r>
              <w:object>
                <v:shape id="_x0000_i1027" o:spt="75" type="#_x0000_t75" style="height:234.35pt;width:660.25pt;" o:ole="t" filled="f" o:preferrelative="t" stroked="f" coordsize="21600,21600">
                  <v:path/>
                  <v:fill on="f" focussize="0,0"/>
                  <v:stroke on="f" joinstyle="miter"/>
                  <v:imagedata r:id="rId20" cropleft="22757f" croptop="17699f" cropright="16709f" cropbottom="25395f" o:title=""/>
                  <o:lock v:ext="edit" aspectratio="t"/>
                  <w10:wrap type="none"/>
                  <w10:anchorlock/>
                </v:shape>
                <o:OLEObject Type="Embed" ProgID="AutoCAD.Drawing.19" ShapeID="_x0000_i1027" DrawAspect="Content" ObjectID="_1468075727" r:id="rId1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8" w:type="dxa"/>
            <w:vAlign w:val="center"/>
          </w:tcPr>
          <w:p>
            <w:pPr>
              <w:pStyle w:val="39"/>
            </w:pPr>
            <w:r>
              <w:rPr>
                <w:rFonts w:hint="eastAsia"/>
              </w:rPr>
              <w:t xml:space="preserve">图 </w:t>
            </w:r>
            <w:r>
              <w:fldChar w:fldCharType="begin"/>
            </w:r>
            <w:r>
              <w:instrText xml:space="preserve"> </w:instrText>
            </w:r>
            <w:r>
              <w:rPr>
                <w:rFonts w:hint="eastAsia"/>
              </w:rPr>
              <w:instrText xml:space="preserve">STYLEREF 3 \s</w:instrText>
            </w:r>
            <w:r>
              <w:instrText xml:space="preserve"> </w:instrText>
            </w:r>
            <w:r>
              <w:fldChar w:fldCharType="separate"/>
            </w:r>
            <w:r>
              <w:t>4.2.20</w:t>
            </w:r>
            <w:r>
              <w:fldChar w:fldCharType="end"/>
            </w:r>
            <w:r>
              <w:noBreakHyphen/>
            </w:r>
            <w:r>
              <w:fldChar w:fldCharType="begin"/>
            </w:r>
            <w:r>
              <w:instrText xml:space="preserve"> </w:instrText>
            </w:r>
            <w:r>
              <w:rPr>
                <w:rFonts w:hint="eastAsia"/>
              </w:rPr>
              <w:instrText xml:space="preserve">SEQ 图 \* ARABIC \s 3</w:instrText>
            </w:r>
            <w:r>
              <w:instrText xml:space="preserve"> </w:instrText>
            </w:r>
            <w:r>
              <w:fldChar w:fldCharType="separate"/>
            </w:r>
            <w:r>
              <w:t>3</w:t>
            </w:r>
            <w:r>
              <w:fldChar w:fldCharType="end"/>
            </w:r>
            <w:r>
              <w:rPr>
                <w:rFonts w:hint="eastAsia"/>
              </w:rPr>
              <w:t>斜拉桥桥测点布设示意图</w:t>
            </w:r>
          </w:p>
        </w:tc>
      </w:tr>
    </w:tbl>
    <w:p>
      <w:pPr>
        <w:widowControl/>
        <w:spacing w:line="240" w:lineRule="auto"/>
        <w:ind w:firstLine="0" w:firstLineChars="0"/>
        <w:jc w:val="left"/>
      </w:pPr>
    </w:p>
    <w:tbl>
      <w:tblPr>
        <w:tblStyle w:val="44"/>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8" w:type="dxa"/>
            <w:vAlign w:val="center"/>
          </w:tcPr>
          <w:p>
            <w:pPr>
              <w:widowControl/>
              <w:spacing w:line="240" w:lineRule="auto"/>
              <w:ind w:firstLine="0" w:firstLineChars="0"/>
              <w:jc w:val="center"/>
            </w:pPr>
            <w:r>
              <w:object>
                <v:shape id="_x0000_i1028" o:spt="75" type="#_x0000_t75" style="height:239.75pt;width:684pt;" o:ole="t" filled="f" o:preferrelative="t" stroked="f" coordsize="21600,21600">
                  <v:path/>
                  <v:fill on="f" focussize="0,0"/>
                  <v:stroke on="f" joinstyle="miter"/>
                  <v:imagedata r:id="rId22" cropleft="8620f" croptop="26988f" cropright="16875f" cropbottom="13386f" o:title=""/>
                  <o:lock v:ext="edit" aspectratio="t"/>
                  <w10:wrap type="none"/>
                  <w10:anchorlock/>
                </v:shape>
                <o:OLEObject Type="Embed" ProgID="AutoCAD.Drawing.19" ShapeID="_x0000_i1028" DrawAspect="Content" ObjectID="_1468075728" r:id="rId2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8" w:type="dxa"/>
            <w:vAlign w:val="center"/>
          </w:tcPr>
          <w:p>
            <w:pPr>
              <w:pStyle w:val="39"/>
            </w:pPr>
            <w:r>
              <w:rPr>
                <w:rFonts w:hint="eastAsia"/>
              </w:rPr>
              <w:t xml:space="preserve">图 </w:t>
            </w:r>
            <w:r>
              <w:fldChar w:fldCharType="begin"/>
            </w:r>
            <w:r>
              <w:instrText xml:space="preserve"> </w:instrText>
            </w:r>
            <w:r>
              <w:rPr>
                <w:rFonts w:hint="eastAsia"/>
              </w:rPr>
              <w:instrText xml:space="preserve">STYLEREF 3 \s</w:instrText>
            </w:r>
            <w:r>
              <w:instrText xml:space="preserve"> </w:instrText>
            </w:r>
            <w:r>
              <w:fldChar w:fldCharType="separate"/>
            </w:r>
            <w:r>
              <w:t>4.2.20</w:t>
            </w:r>
            <w:r>
              <w:fldChar w:fldCharType="end"/>
            </w:r>
            <w:r>
              <w:noBreakHyphen/>
            </w:r>
            <w:r>
              <w:t>4</w:t>
            </w:r>
            <w:r>
              <w:rPr>
                <w:rFonts w:hint="eastAsia"/>
              </w:rPr>
              <w:t>悬索桥测点布设示意图</w:t>
            </w:r>
          </w:p>
        </w:tc>
      </w:tr>
    </w:tbl>
    <w:p>
      <w:pPr>
        <w:widowControl/>
        <w:spacing w:line="240" w:lineRule="auto"/>
        <w:ind w:firstLine="0" w:firstLineChars="0"/>
        <w:jc w:val="left"/>
        <w:sectPr>
          <w:pgSz w:w="16838" w:h="11906" w:orient="landscape"/>
          <w:pgMar w:top="1800" w:right="1440" w:bottom="1800" w:left="1440" w:header="851" w:footer="992" w:gutter="0"/>
          <w:cols w:space="425" w:num="1"/>
          <w:docGrid w:type="lines" w:linePitch="326" w:charSpace="0"/>
        </w:sectPr>
      </w:pPr>
    </w:p>
    <w:bookmarkEnd w:id="21"/>
    <w:p>
      <w:pPr>
        <w:pStyle w:val="3"/>
        <w:jc w:val="center"/>
      </w:pPr>
      <w:bookmarkStart w:id="24" w:name="_Toc136506059"/>
      <w:r>
        <w:rPr>
          <w:rFonts w:hint="eastAsia"/>
        </w:rPr>
        <w:t>监测数据的采集、分析、评估和应用</w:t>
      </w:r>
      <w:bookmarkEnd w:id="24"/>
    </w:p>
    <w:p>
      <w:pPr>
        <w:pStyle w:val="4"/>
      </w:pPr>
      <w:r>
        <w:rPr>
          <w:rFonts w:hint="eastAsia"/>
        </w:rPr>
        <w:t>数据采集设备应考虑传感器的分辨力、信号类型、接口的兼容性。信号应不失真，信噪比满足</w:t>
      </w:r>
      <w:r>
        <w:t>分析要求</w:t>
      </w:r>
      <w:r>
        <w:rPr>
          <w:rFonts w:hint="eastAsia"/>
        </w:rPr>
        <w:t>。动态信号应进行抗混滤波，满足采样定理，应涵盖比较关注的结构振动频率。</w:t>
      </w:r>
    </w:p>
    <w:p>
      <w:pPr>
        <w:pStyle w:val="4"/>
      </w:pPr>
      <w:r>
        <w:rPr>
          <w:rFonts w:hint="eastAsia"/>
        </w:rPr>
        <w:t>数据采集时间同步精度应满足数据处理、数据分析及状态评估的要求。动态信号的时间同步精度应不超过0.1ms。</w:t>
      </w:r>
    </w:p>
    <w:p>
      <w:pPr>
        <w:pStyle w:val="4"/>
      </w:pPr>
      <w:r>
        <w:rPr>
          <w:rFonts w:hint="eastAsia"/>
        </w:rPr>
        <w:t>数据采集可选用连续采集、触发采集和定时采集等方式，采集频率应满足实时报警、数据分析及应用的要求，可根据监测需求参照表4.3.</w:t>
      </w:r>
      <w:r>
        <w:t>3</w:t>
      </w:r>
      <w:r>
        <w:rPr>
          <w:rFonts w:hint="eastAsia"/>
        </w:rPr>
        <w:t>进行设定、调整。</w:t>
      </w:r>
    </w:p>
    <w:tbl>
      <w:tblPr>
        <w:tblStyle w:val="2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7"/>
        <w:gridCol w:w="1907"/>
        <w:gridCol w:w="3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296" w:type="dxa"/>
            <w:gridSpan w:val="3"/>
            <w:tcBorders>
              <w:top w:val="nil"/>
              <w:left w:val="nil"/>
              <w:right w:val="nil"/>
            </w:tcBorders>
            <w:shd w:val="clear" w:color="auto" w:fill="auto"/>
            <w:vAlign w:val="center"/>
          </w:tcPr>
          <w:p>
            <w:pPr>
              <w:pStyle w:val="38"/>
            </w:pPr>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t>4.3.3</w:t>
            </w:r>
            <w:r>
              <w:fldChar w:fldCharType="end"/>
            </w:r>
            <w:r>
              <w:t xml:space="preserve"> </w:t>
            </w:r>
            <w:r>
              <w:rPr>
                <w:rFonts w:hint="eastAsia"/>
              </w:rPr>
              <w:t>数据采集频率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757" w:type="dxa"/>
            <w:shd w:val="clear" w:color="auto" w:fill="auto"/>
            <w:vAlign w:val="center"/>
          </w:tcPr>
          <w:p>
            <w:pPr>
              <w:snapToGrid w:val="0"/>
              <w:spacing w:line="240" w:lineRule="auto"/>
              <w:ind w:firstLine="0" w:firstLineChars="0"/>
              <w:jc w:val="center"/>
              <w:rPr>
                <w:b/>
                <w:bCs/>
                <w:sz w:val="21"/>
                <w:szCs w:val="21"/>
                <w:lang w:bidi="mn-Mong-CN"/>
              </w:rPr>
            </w:pPr>
            <w:r>
              <w:rPr>
                <w:rFonts w:hint="eastAsia"/>
                <w:b/>
                <w:bCs/>
                <w:sz w:val="21"/>
                <w:szCs w:val="21"/>
                <w:lang w:bidi="mn-Mong-CN"/>
              </w:rPr>
              <w:t>监测类别</w:t>
            </w:r>
          </w:p>
        </w:tc>
        <w:tc>
          <w:tcPr>
            <w:tcW w:w="1907" w:type="dxa"/>
            <w:shd w:val="clear" w:color="auto" w:fill="auto"/>
            <w:vAlign w:val="center"/>
          </w:tcPr>
          <w:p>
            <w:pPr>
              <w:snapToGrid w:val="0"/>
              <w:spacing w:line="240" w:lineRule="auto"/>
              <w:ind w:firstLine="0" w:firstLineChars="0"/>
              <w:jc w:val="center"/>
              <w:rPr>
                <w:b/>
                <w:bCs/>
                <w:sz w:val="21"/>
                <w:szCs w:val="21"/>
                <w:lang w:bidi="mn-Mong-CN"/>
              </w:rPr>
            </w:pPr>
            <w:r>
              <w:rPr>
                <w:rFonts w:hint="eastAsia"/>
                <w:b/>
                <w:bCs/>
                <w:sz w:val="21"/>
                <w:szCs w:val="21"/>
                <w:lang w:bidi="mn-Mong-CN"/>
              </w:rPr>
              <w:t>监测内容</w:t>
            </w:r>
          </w:p>
        </w:tc>
        <w:tc>
          <w:tcPr>
            <w:tcW w:w="3632" w:type="dxa"/>
            <w:shd w:val="clear" w:color="auto" w:fill="auto"/>
            <w:vAlign w:val="center"/>
          </w:tcPr>
          <w:p>
            <w:pPr>
              <w:snapToGrid w:val="0"/>
              <w:spacing w:line="240" w:lineRule="auto"/>
              <w:ind w:firstLine="0" w:firstLineChars="0"/>
              <w:jc w:val="center"/>
              <w:rPr>
                <w:b/>
                <w:bCs/>
                <w:sz w:val="21"/>
                <w:szCs w:val="21"/>
                <w:lang w:bidi="mn-Mong-CN"/>
              </w:rPr>
            </w:pPr>
            <w:r>
              <w:rPr>
                <w:rFonts w:hint="eastAsia"/>
                <w:b/>
                <w:bCs/>
                <w:sz w:val="21"/>
                <w:szCs w:val="21"/>
                <w:lang w:bidi="mn-Mong-CN"/>
              </w:rPr>
              <w:t>采集频率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7" w:type="dxa"/>
            <w:vMerge w:val="restart"/>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环境</w:t>
            </w:r>
          </w:p>
        </w:tc>
        <w:tc>
          <w:tcPr>
            <w:tcW w:w="1907"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温度</w:t>
            </w:r>
          </w:p>
        </w:tc>
        <w:tc>
          <w:tcPr>
            <w:tcW w:w="3632"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1/600 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7" w:type="dxa"/>
            <w:vMerge w:val="continue"/>
            <w:shd w:val="clear" w:color="auto" w:fill="auto"/>
            <w:vAlign w:val="center"/>
          </w:tcPr>
          <w:p>
            <w:pPr>
              <w:snapToGrid w:val="0"/>
              <w:spacing w:line="240" w:lineRule="auto"/>
              <w:ind w:firstLine="0" w:firstLineChars="0"/>
              <w:jc w:val="center"/>
              <w:rPr>
                <w:sz w:val="21"/>
                <w:szCs w:val="21"/>
                <w:lang w:bidi="mn-Mong-CN"/>
              </w:rPr>
            </w:pPr>
          </w:p>
        </w:tc>
        <w:tc>
          <w:tcPr>
            <w:tcW w:w="1907"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湿度</w:t>
            </w:r>
          </w:p>
        </w:tc>
        <w:tc>
          <w:tcPr>
            <w:tcW w:w="3632"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1/600 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7" w:type="dxa"/>
            <w:vMerge w:val="continue"/>
            <w:shd w:val="clear" w:color="auto" w:fill="auto"/>
            <w:vAlign w:val="center"/>
          </w:tcPr>
          <w:p>
            <w:pPr>
              <w:snapToGrid w:val="0"/>
              <w:spacing w:line="240" w:lineRule="auto"/>
              <w:ind w:firstLine="0" w:firstLineChars="0"/>
              <w:jc w:val="center"/>
              <w:rPr>
                <w:sz w:val="21"/>
                <w:szCs w:val="21"/>
                <w:lang w:bidi="mn-Mong-CN"/>
              </w:rPr>
            </w:pPr>
          </w:p>
        </w:tc>
        <w:tc>
          <w:tcPr>
            <w:tcW w:w="1907"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雨量</w:t>
            </w:r>
          </w:p>
        </w:tc>
        <w:tc>
          <w:tcPr>
            <w:tcW w:w="3632"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1/60 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7" w:type="dxa"/>
            <w:vMerge w:val="continue"/>
            <w:shd w:val="clear" w:color="auto" w:fill="auto"/>
            <w:vAlign w:val="center"/>
          </w:tcPr>
          <w:p>
            <w:pPr>
              <w:snapToGrid w:val="0"/>
              <w:spacing w:line="240" w:lineRule="auto"/>
              <w:ind w:firstLine="0" w:firstLineChars="0"/>
              <w:jc w:val="center"/>
              <w:rPr>
                <w:sz w:val="21"/>
                <w:szCs w:val="21"/>
                <w:lang w:bidi="mn-Mong-CN"/>
              </w:rPr>
            </w:pPr>
          </w:p>
        </w:tc>
        <w:tc>
          <w:tcPr>
            <w:tcW w:w="1907"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结冰</w:t>
            </w:r>
          </w:p>
        </w:tc>
        <w:tc>
          <w:tcPr>
            <w:tcW w:w="3632"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微波</w:t>
            </w:r>
            <w:r>
              <w:rPr>
                <w:sz w:val="21"/>
                <w:szCs w:val="21"/>
                <w:lang w:bidi="mn-Mong-CN"/>
              </w:rPr>
              <w:t>：</w:t>
            </w:r>
            <w:r>
              <w:rPr>
                <w:rFonts w:hint="eastAsia"/>
                <w:sz w:val="21"/>
                <w:szCs w:val="21"/>
                <w:lang w:bidi="mn-Mong-CN"/>
              </w:rPr>
              <w:t>1/600 Hz</w:t>
            </w:r>
          </w:p>
          <w:p>
            <w:pPr>
              <w:snapToGrid w:val="0"/>
              <w:spacing w:line="240" w:lineRule="auto"/>
              <w:ind w:firstLine="0" w:firstLineChars="0"/>
              <w:jc w:val="center"/>
              <w:rPr>
                <w:sz w:val="21"/>
                <w:szCs w:val="21"/>
                <w:lang w:bidi="mn-Mong-CN"/>
              </w:rPr>
            </w:pPr>
            <w:r>
              <w:rPr>
                <w:rFonts w:hint="eastAsia"/>
                <w:sz w:val="21"/>
                <w:szCs w:val="21"/>
                <w:lang w:bidi="mn-Mong-CN"/>
              </w:rPr>
              <w:t>视频：25 FPS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7" w:type="dxa"/>
            <w:vMerge w:val="continue"/>
            <w:shd w:val="clear" w:color="auto" w:fill="auto"/>
            <w:vAlign w:val="center"/>
          </w:tcPr>
          <w:p>
            <w:pPr>
              <w:snapToGrid w:val="0"/>
              <w:spacing w:line="240" w:lineRule="auto"/>
              <w:ind w:firstLine="0" w:firstLineChars="0"/>
              <w:jc w:val="center"/>
              <w:rPr>
                <w:sz w:val="21"/>
                <w:szCs w:val="21"/>
                <w:lang w:bidi="mn-Mong-CN"/>
              </w:rPr>
            </w:pPr>
          </w:p>
        </w:tc>
        <w:tc>
          <w:tcPr>
            <w:tcW w:w="1907"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能见度</w:t>
            </w:r>
          </w:p>
        </w:tc>
        <w:tc>
          <w:tcPr>
            <w:tcW w:w="3632"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1/3600 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7" w:type="dxa"/>
            <w:vMerge w:val="restart"/>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作用</w:t>
            </w:r>
          </w:p>
        </w:tc>
        <w:tc>
          <w:tcPr>
            <w:tcW w:w="1907"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车辆荷载</w:t>
            </w:r>
          </w:p>
        </w:tc>
        <w:tc>
          <w:tcPr>
            <w:tcW w:w="3632"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动态称重设备：触发采集</w:t>
            </w:r>
          </w:p>
          <w:p>
            <w:pPr>
              <w:snapToGrid w:val="0"/>
              <w:spacing w:line="240" w:lineRule="auto"/>
              <w:ind w:firstLine="0" w:firstLineChars="0"/>
              <w:jc w:val="center"/>
              <w:rPr>
                <w:sz w:val="21"/>
                <w:szCs w:val="21"/>
                <w:lang w:bidi="mn-Mong-CN"/>
              </w:rPr>
            </w:pPr>
            <w:r>
              <w:rPr>
                <w:rFonts w:hint="eastAsia"/>
                <w:sz w:val="21"/>
                <w:szCs w:val="21"/>
                <w:lang w:bidi="mn-Mong-CN"/>
              </w:rPr>
              <w:t>视频：25 FPS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7" w:type="dxa"/>
            <w:vMerge w:val="continue"/>
            <w:shd w:val="clear" w:color="auto" w:fill="auto"/>
            <w:vAlign w:val="center"/>
          </w:tcPr>
          <w:p>
            <w:pPr>
              <w:snapToGrid w:val="0"/>
              <w:spacing w:line="240" w:lineRule="auto"/>
              <w:ind w:firstLine="0" w:firstLineChars="0"/>
              <w:jc w:val="center"/>
              <w:rPr>
                <w:sz w:val="21"/>
                <w:szCs w:val="21"/>
                <w:lang w:bidi="mn-Mong-CN"/>
              </w:rPr>
            </w:pPr>
          </w:p>
        </w:tc>
        <w:tc>
          <w:tcPr>
            <w:tcW w:w="1907"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风速、风向</w:t>
            </w:r>
          </w:p>
        </w:tc>
        <w:tc>
          <w:tcPr>
            <w:tcW w:w="3632"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超声风速仪：10 Hz</w:t>
            </w:r>
          </w:p>
          <w:p>
            <w:pPr>
              <w:snapToGrid w:val="0"/>
              <w:spacing w:line="240" w:lineRule="auto"/>
              <w:ind w:firstLine="0" w:firstLineChars="0"/>
              <w:jc w:val="center"/>
              <w:rPr>
                <w:sz w:val="21"/>
                <w:szCs w:val="21"/>
                <w:lang w:bidi="mn-Mong-CN"/>
              </w:rPr>
            </w:pPr>
            <w:r>
              <w:rPr>
                <w:rFonts w:hint="eastAsia"/>
                <w:sz w:val="21"/>
                <w:szCs w:val="21"/>
                <w:lang w:bidi="mn-Mong-CN"/>
              </w:rPr>
              <w:t>机械式风速仪：1 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7" w:type="dxa"/>
            <w:vMerge w:val="continue"/>
            <w:shd w:val="clear" w:color="auto" w:fill="auto"/>
            <w:vAlign w:val="center"/>
          </w:tcPr>
          <w:p>
            <w:pPr>
              <w:snapToGrid w:val="0"/>
              <w:spacing w:line="240" w:lineRule="auto"/>
              <w:ind w:firstLine="0" w:firstLineChars="0"/>
              <w:jc w:val="center"/>
              <w:rPr>
                <w:sz w:val="21"/>
                <w:szCs w:val="21"/>
                <w:lang w:bidi="mn-Mong-CN"/>
              </w:rPr>
            </w:pPr>
          </w:p>
        </w:tc>
        <w:tc>
          <w:tcPr>
            <w:tcW w:w="1907"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风压</w:t>
            </w:r>
          </w:p>
        </w:tc>
        <w:tc>
          <w:tcPr>
            <w:tcW w:w="3632"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10 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7" w:type="dxa"/>
            <w:vMerge w:val="continue"/>
            <w:shd w:val="clear" w:color="auto" w:fill="auto"/>
            <w:vAlign w:val="center"/>
          </w:tcPr>
          <w:p>
            <w:pPr>
              <w:snapToGrid w:val="0"/>
              <w:spacing w:line="240" w:lineRule="auto"/>
              <w:ind w:firstLine="0" w:firstLineChars="0"/>
              <w:jc w:val="center"/>
              <w:rPr>
                <w:sz w:val="21"/>
                <w:szCs w:val="21"/>
                <w:lang w:bidi="mn-Mong-CN"/>
              </w:rPr>
            </w:pPr>
          </w:p>
        </w:tc>
        <w:tc>
          <w:tcPr>
            <w:tcW w:w="1907"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船舶撞击、车辆撞击</w:t>
            </w:r>
          </w:p>
        </w:tc>
        <w:tc>
          <w:tcPr>
            <w:tcW w:w="3632"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加速度：50 Hz</w:t>
            </w:r>
          </w:p>
          <w:p>
            <w:pPr>
              <w:snapToGrid w:val="0"/>
              <w:spacing w:line="240" w:lineRule="auto"/>
              <w:ind w:firstLine="0" w:firstLineChars="0"/>
              <w:jc w:val="center"/>
              <w:rPr>
                <w:sz w:val="21"/>
                <w:szCs w:val="21"/>
                <w:lang w:bidi="mn-Mong-CN"/>
              </w:rPr>
            </w:pPr>
            <w:r>
              <w:rPr>
                <w:rFonts w:hint="eastAsia"/>
                <w:sz w:val="21"/>
                <w:szCs w:val="21"/>
                <w:lang w:bidi="mn-Mong-CN"/>
              </w:rPr>
              <w:t>视频：25 FPS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7" w:type="dxa"/>
            <w:vMerge w:val="continue"/>
            <w:shd w:val="clear" w:color="auto" w:fill="auto"/>
            <w:vAlign w:val="center"/>
          </w:tcPr>
          <w:p>
            <w:pPr>
              <w:snapToGrid w:val="0"/>
              <w:spacing w:line="240" w:lineRule="auto"/>
              <w:ind w:firstLine="0" w:firstLineChars="0"/>
              <w:jc w:val="center"/>
              <w:rPr>
                <w:sz w:val="21"/>
                <w:szCs w:val="21"/>
                <w:lang w:bidi="mn-Mong-CN"/>
              </w:rPr>
            </w:pPr>
          </w:p>
        </w:tc>
        <w:tc>
          <w:tcPr>
            <w:tcW w:w="1907"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地震</w:t>
            </w:r>
          </w:p>
        </w:tc>
        <w:tc>
          <w:tcPr>
            <w:tcW w:w="3632"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加速度：50 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7" w:type="dxa"/>
            <w:vMerge w:val="continue"/>
            <w:shd w:val="clear" w:color="auto" w:fill="auto"/>
            <w:vAlign w:val="center"/>
          </w:tcPr>
          <w:p>
            <w:pPr>
              <w:snapToGrid w:val="0"/>
              <w:spacing w:line="240" w:lineRule="auto"/>
              <w:ind w:firstLine="0" w:firstLineChars="0"/>
              <w:jc w:val="center"/>
              <w:rPr>
                <w:sz w:val="21"/>
                <w:szCs w:val="21"/>
                <w:lang w:bidi="mn-Mong-CN"/>
              </w:rPr>
            </w:pPr>
          </w:p>
        </w:tc>
        <w:tc>
          <w:tcPr>
            <w:tcW w:w="1907"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视频</w:t>
            </w:r>
          </w:p>
        </w:tc>
        <w:tc>
          <w:tcPr>
            <w:tcW w:w="3632"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25 FPS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7" w:type="dxa"/>
            <w:vMerge w:val="continue"/>
            <w:shd w:val="clear" w:color="auto" w:fill="auto"/>
            <w:vAlign w:val="center"/>
          </w:tcPr>
          <w:p>
            <w:pPr>
              <w:snapToGrid w:val="0"/>
              <w:spacing w:line="240" w:lineRule="auto"/>
              <w:ind w:firstLine="0" w:firstLineChars="0"/>
              <w:jc w:val="center"/>
              <w:rPr>
                <w:sz w:val="21"/>
                <w:szCs w:val="21"/>
                <w:lang w:bidi="mn-Mong-CN"/>
              </w:rPr>
            </w:pPr>
          </w:p>
        </w:tc>
        <w:tc>
          <w:tcPr>
            <w:tcW w:w="1907"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人流量</w:t>
            </w:r>
          </w:p>
        </w:tc>
        <w:tc>
          <w:tcPr>
            <w:tcW w:w="3632"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触发采集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7" w:type="dxa"/>
            <w:vMerge w:val="restart"/>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结构响应</w:t>
            </w:r>
          </w:p>
        </w:tc>
        <w:tc>
          <w:tcPr>
            <w:tcW w:w="1907"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位移、线形</w:t>
            </w:r>
          </w:p>
        </w:tc>
        <w:tc>
          <w:tcPr>
            <w:tcW w:w="3632"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动态：20 Hz</w:t>
            </w:r>
          </w:p>
          <w:p>
            <w:pPr>
              <w:snapToGrid w:val="0"/>
              <w:spacing w:line="240" w:lineRule="auto"/>
              <w:ind w:firstLine="0" w:firstLineChars="0"/>
              <w:jc w:val="center"/>
              <w:rPr>
                <w:sz w:val="21"/>
                <w:szCs w:val="21"/>
                <w:lang w:bidi="mn-Mong-CN"/>
              </w:rPr>
            </w:pPr>
            <w:r>
              <w:rPr>
                <w:rFonts w:hint="eastAsia"/>
                <w:sz w:val="21"/>
                <w:szCs w:val="21"/>
                <w:lang w:bidi="mn-Mong-CN"/>
              </w:rPr>
              <w:t>静态：1/600 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7" w:type="dxa"/>
            <w:vMerge w:val="continue"/>
            <w:shd w:val="clear" w:color="auto" w:fill="auto"/>
            <w:vAlign w:val="center"/>
          </w:tcPr>
          <w:p>
            <w:pPr>
              <w:snapToGrid w:val="0"/>
              <w:spacing w:line="240" w:lineRule="auto"/>
              <w:ind w:firstLine="0" w:firstLineChars="0"/>
              <w:jc w:val="center"/>
              <w:rPr>
                <w:sz w:val="21"/>
                <w:szCs w:val="21"/>
                <w:lang w:bidi="mn-Mong-CN"/>
              </w:rPr>
            </w:pPr>
          </w:p>
        </w:tc>
        <w:tc>
          <w:tcPr>
            <w:tcW w:w="1907"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转角</w:t>
            </w:r>
          </w:p>
        </w:tc>
        <w:tc>
          <w:tcPr>
            <w:tcW w:w="3632"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动态：10 Hz</w:t>
            </w:r>
          </w:p>
          <w:p>
            <w:pPr>
              <w:snapToGrid w:val="0"/>
              <w:spacing w:line="240" w:lineRule="auto"/>
              <w:ind w:firstLine="0" w:firstLineChars="0"/>
              <w:jc w:val="center"/>
              <w:rPr>
                <w:sz w:val="21"/>
                <w:szCs w:val="21"/>
                <w:lang w:bidi="mn-Mong-CN"/>
              </w:rPr>
            </w:pPr>
            <w:r>
              <w:rPr>
                <w:rFonts w:hint="eastAsia"/>
                <w:sz w:val="21"/>
                <w:szCs w:val="21"/>
                <w:lang w:bidi="mn-Mong-CN"/>
              </w:rPr>
              <w:t>静态：1/600 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7" w:type="dxa"/>
            <w:vMerge w:val="continue"/>
            <w:shd w:val="clear" w:color="auto" w:fill="auto"/>
            <w:vAlign w:val="center"/>
          </w:tcPr>
          <w:p>
            <w:pPr>
              <w:snapToGrid w:val="0"/>
              <w:spacing w:line="240" w:lineRule="auto"/>
              <w:ind w:firstLine="0" w:firstLineChars="0"/>
              <w:jc w:val="center"/>
              <w:rPr>
                <w:sz w:val="21"/>
                <w:szCs w:val="21"/>
                <w:lang w:bidi="mn-Mong-CN"/>
              </w:rPr>
            </w:pPr>
          </w:p>
        </w:tc>
        <w:tc>
          <w:tcPr>
            <w:tcW w:w="1907"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应变</w:t>
            </w:r>
          </w:p>
        </w:tc>
        <w:tc>
          <w:tcPr>
            <w:tcW w:w="3632"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动态：10 Hz</w:t>
            </w:r>
          </w:p>
          <w:p>
            <w:pPr>
              <w:snapToGrid w:val="0"/>
              <w:spacing w:line="240" w:lineRule="auto"/>
              <w:ind w:firstLine="0" w:firstLineChars="0"/>
              <w:jc w:val="center"/>
              <w:rPr>
                <w:sz w:val="21"/>
                <w:szCs w:val="21"/>
                <w:lang w:bidi="mn-Mong-CN"/>
              </w:rPr>
            </w:pPr>
            <w:r>
              <w:rPr>
                <w:rFonts w:hint="eastAsia"/>
                <w:sz w:val="21"/>
                <w:szCs w:val="21"/>
                <w:lang w:bidi="mn-Mong-CN"/>
              </w:rPr>
              <w:t>静态：1/600 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7" w:type="dxa"/>
            <w:vMerge w:val="continue"/>
            <w:shd w:val="clear" w:color="auto" w:fill="auto"/>
            <w:vAlign w:val="center"/>
          </w:tcPr>
          <w:p>
            <w:pPr>
              <w:snapToGrid w:val="0"/>
              <w:spacing w:line="240" w:lineRule="auto"/>
              <w:ind w:firstLine="0" w:firstLineChars="0"/>
              <w:jc w:val="center"/>
              <w:rPr>
                <w:sz w:val="21"/>
                <w:szCs w:val="21"/>
                <w:lang w:bidi="mn-Mong-CN"/>
              </w:rPr>
            </w:pPr>
          </w:p>
        </w:tc>
        <w:tc>
          <w:tcPr>
            <w:tcW w:w="1907"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索力</w:t>
            </w:r>
          </w:p>
        </w:tc>
        <w:tc>
          <w:tcPr>
            <w:tcW w:w="3632"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压力传感器：1/600 Hz</w:t>
            </w:r>
          </w:p>
          <w:p>
            <w:pPr>
              <w:snapToGrid w:val="0"/>
              <w:spacing w:line="240" w:lineRule="auto"/>
              <w:ind w:firstLine="0" w:firstLineChars="0"/>
              <w:jc w:val="center"/>
              <w:rPr>
                <w:sz w:val="21"/>
                <w:szCs w:val="21"/>
                <w:lang w:bidi="mn-Mong-CN"/>
              </w:rPr>
            </w:pPr>
            <w:r>
              <w:rPr>
                <w:rFonts w:hint="eastAsia"/>
                <w:sz w:val="21"/>
                <w:szCs w:val="21"/>
                <w:lang w:bidi="mn-Mong-CN"/>
              </w:rPr>
              <w:t>加速度传感器：50 Hz</w:t>
            </w:r>
          </w:p>
          <w:p>
            <w:pPr>
              <w:snapToGrid w:val="0"/>
              <w:spacing w:line="240" w:lineRule="auto"/>
              <w:ind w:firstLine="0" w:firstLineChars="0"/>
              <w:jc w:val="center"/>
              <w:rPr>
                <w:sz w:val="21"/>
                <w:szCs w:val="21"/>
                <w:lang w:bidi="mn-Mong-CN"/>
              </w:rPr>
            </w:pPr>
            <w:r>
              <w:rPr>
                <w:rFonts w:hint="eastAsia"/>
                <w:sz w:val="21"/>
                <w:szCs w:val="21"/>
                <w:lang w:bidi="mn-Mong-CN"/>
              </w:rPr>
              <w:t>电磁弹式传感器：1/3600 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7" w:type="dxa"/>
            <w:vMerge w:val="continue"/>
            <w:shd w:val="clear" w:color="auto" w:fill="auto"/>
            <w:vAlign w:val="center"/>
          </w:tcPr>
          <w:p>
            <w:pPr>
              <w:snapToGrid w:val="0"/>
              <w:spacing w:line="240" w:lineRule="auto"/>
              <w:ind w:firstLine="0" w:firstLineChars="0"/>
              <w:jc w:val="center"/>
              <w:rPr>
                <w:sz w:val="21"/>
                <w:szCs w:val="21"/>
                <w:lang w:bidi="mn-Mong-CN"/>
              </w:rPr>
            </w:pPr>
          </w:p>
        </w:tc>
        <w:tc>
          <w:tcPr>
            <w:tcW w:w="1907"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支座反力</w:t>
            </w:r>
          </w:p>
        </w:tc>
        <w:tc>
          <w:tcPr>
            <w:tcW w:w="3632"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1Hz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7" w:type="dxa"/>
            <w:vMerge w:val="continue"/>
            <w:shd w:val="clear" w:color="auto" w:fill="auto"/>
            <w:vAlign w:val="center"/>
          </w:tcPr>
          <w:p>
            <w:pPr>
              <w:snapToGrid w:val="0"/>
              <w:spacing w:line="240" w:lineRule="auto"/>
              <w:ind w:firstLine="0" w:firstLineChars="0"/>
              <w:jc w:val="center"/>
              <w:rPr>
                <w:sz w:val="21"/>
                <w:szCs w:val="21"/>
                <w:lang w:bidi="mn-Mong-CN"/>
              </w:rPr>
            </w:pPr>
          </w:p>
        </w:tc>
        <w:tc>
          <w:tcPr>
            <w:tcW w:w="1907"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振动</w:t>
            </w:r>
          </w:p>
        </w:tc>
        <w:tc>
          <w:tcPr>
            <w:tcW w:w="3632"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不低于20Hz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7" w:type="dxa"/>
            <w:vMerge w:val="restart"/>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结构变化</w:t>
            </w:r>
          </w:p>
        </w:tc>
        <w:tc>
          <w:tcPr>
            <w:tcW w:w="1907"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基础冲刷</w:t>
            </w:r>
          </w:p>
        </w:tc>
        <w:tc>
          <w:tcPr>
            <w:tcW w:w="3632"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在线：1 MHz</w:t>
            </w:r>
          </w:p>
          <w:p>
            <w:pPr>
              <w:snapToGrid w:val="0"/>
              <w:spacing w:line="240" w:lineRule="auto"/>
              <w:ind w:firstLine="0" w:firstLineChars="0"/>
              <w:jc w:val="center"/>
              <w:rPr>
                <w:sz w:val="21"/>
                <w:szCs w:val="21"/>
                <w:lang w:bidi="mn-Mong-CN"/>
              </w:rPr>
            </w:pPr>
            <w:r>
              <w:rPr>
                <w:rFonts w:hint="eastAsia"/>
                <w:sz w:val="21"/>
                <w:szCs w:val="21"/>
                <w:lang w:bidi="mn-Mong-CN"/>
              </w:rPr>
              <w:t>离线：每年1～2次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7" w:type="dxa"/>
            <w:vMerge w:val="continue"/>
            <w:shd w:val="clear" w:color="auto" w:fill="auto"/>
            <w:vAlign w:val="center"/>
          </w:tcPr>
          <w:p>
            <w:pPr>
              <w:snapToGrid w:val="0"/>
              <w:spacing w:line="240" w:lineRule="auto"/>
              <w:ind w:firstLine="0" w:firstLineChars="0"/>
              <w:jc w:val="center"/>
              <w:rPr>
                <w:sz w:val="21"/>
                <w:szCs w:val="21"/>
                <w:lang w:bidi="mn-Mong-CN"/>
              </w:rPr>
            </w:pPr>
          </w:p>
        </w:tc>
        <w:tc>
          <w:tcPr>
            <w:tcW w:w="1907"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锚碇位移、拱脚位移、桥墩沉降</w:t>
            </w:r>
          </w:p>
        </w:tc>
        <w:tc>
          <w:tcPr>
            <w:tcW w:w="3632"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在线：1/3600 Hz</w:t>
            </w:r>
          </w:p>
          <w:p>
            <w:pPr>
              <w:snapToGrid w:val="0"/>
              <w:spacing w:line="240" w:lineRule="auto"/>
              <w:ind w:firstLine="0" w:firstLineChars="0"/>
              <w:jc w:val="center"/>
              <w:rPr>
                <w:sz w:val="21"/>
                <w:szCs w:val="21"/>
                <w:lang w:bidi="mn-Mong-CN"/>
              </w:rPr>
            </w:pPr>
            <w:r>
              <w:rPr>
                <w:rFonts w:hint="eastAsia"/>
                <w:sz w:val="21"/>
                <w:szCs w:val="21"/>
                <w:lang w:bidi="mn-Mong-CN"/>
              </w:rPr>
              <w:t>离线：每年1～2次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2757" w:type="dxa"/>
            <w:vMerge w:val="continue"/>
            <w:shd w:val="clear" w:color="auto" w:fill="auto"/>
            <w:vAlign w:val="center"/>
          </w:tcPr>
          <w:p>
            <w:pPr>
              <w:snapToGrid w:val="0"/>
              <w:spacing w:line="240" w:lineRule="auto"/>
              <w:ind w:firstLine="0" w:firstLineChars="0"/>
              <w:jc w:val="center"/>
              <w:rPr>
                <w:sz w:val="21"/>
                <w:szCs w:val="21"/>
                <w:lang w:bidi="mn-Mong-CN"/>
              </w:rPr>
            </w:pPr>
          </w:p>
        </w:tc>
        <w:tc>
          <w:tcPr>
            <w:tcW w:w="1907"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裂缝</w:t>
            </w:r>
          </w:p>
        </w:tc>
        <w:tc>
          <w:tcPr>
            <w:tcW w:w="3632"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动态：10 Hz</w:t>
            </w:r>
          </w:p>
          <w:p>
            <w:pPr>
              <w:snapToGrid w:val="0"/>
              <w:spacing w:line="240" w:lineRule="auto"/>
              <w:ind w:firstLine="0" w:firstLineChars="0"/>
              <w:jc w:val="center"/>
              <w:rPr>
                <w:sz w:val="21"/>
                <w:szCs w:val="21"/>
                <w:lang w:bidi="mn-Mong-CN"/>
              </w:rPr>
            </w:pPr>
            <w:r>
              <w:rPr>
                <w:rFonts w:hint="eastAsia"/>
                <w:sz w:val="21"/>
                <w:szCs w:val="21"/>
                <w:lang w:bidi="mn-Mong-CN"/>
              </w:rPr>
              <w:t>静态：1/3600 Hz</w:t>
            </w:r>
          </w:p>
          <w:p>
            <w:pPr>
              <w:snapToGrid w:val="0"/>
              <w:spacing w:line="240" w:lineRule="auto"/>
              <w:ind w:firstLine="0" w:firstLineChars="0"/>
              <w:jc w:val="center"/>
              <w:rPr>
                <w:sz w:val="21"/>
                <w:szCs w:val="21"/>
                <w:lang w:bidi="mn-Mong-CN"/>
              </w:rPr>
            </w:pPr>
            <w:r>
              <w:rPr>
                <w:rFonts w:hint="eastAsia"/>
                <w:sz w:val="21"/>
                <w:szCs w:val="21"/>
                <w:lang w:bidi="mn-Mong-CN"/>
              </w:rPr>
              <w:t>图像：每周1次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7" w:type="dxa"/>
            <w:vMerge w:val="continue"/>
            <w:shd w:val="clear" w:color="auto" w:fill="auto"/>
            <w:vAlign w:val="center"/>
          </w:tcPr>
          <w:p>
            <w:pPr>
              <w:snapToGrid w:val="0"/>
              <w:spacing w:line="240" w:lineRule="auto"/>
              <w:ind w:firstLine="0" w:firstLineChars="0"/>
              <w:jc w:val="center"/>
              <w:rPr>
                <w:sz w:val="21"/>
                <w:szCs w:val="21"/>
                <w:lang w:bidi="mn-Mong-CN"/>
              </w:rPr>
            </w:pPr>
          </w:p>
        </w:tc>
        <w:tc>
          <w:tcPr>
            <w:tcW w:w="1907"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腐蚀</w:t>
            </w:r>
          </w:p>
        </w:tc>
        <w:tc>
          <w:tcPr>
            <w:tcW w:w="3632"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在线：1/3600 Hz</w:t>
            </w:r>
          </w:p>
          <w:p>
            <w:pPr>
              <w:snapToGrid w:val="0"/>
              <w:spacing w:line="240" w:lineRule="auto"/>
              <w:ind w:firstLine="0" w:firstLineChars="0"/>
              <w:jc w:val="center"/>
              <w:rPr>
                <w:sz w:val="21"/>
                <w:szCs w:val="21"/>
                <w:lang w:bidi="mn-Mong-CN"/>
              </w:rPr>
            </w:pPr>
            <w:r>
              <w:rPr>
                <w:rFonts w:hint="eastAsia"/>
                <w:sz w:val="21"/>
                <w:szCs w:val="21"/>
                <w:lang w:bidi="mn-Mong-CN"/>
              </w:rPr>
              <w:t>离线：每年1～2次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7" w:type="dxa"/>
            <w:vMerge w:val="continue"/>
            <w:shd w:val="clear" w:color="auto" w:fill="auto"/>
            <w:vAlign w:val="center"/>
          </w:tcPr>
          <w:p>
            <w:pPr>
              <w:snapToGrid w:val="0"/>
              <w:spacing w:line="240" w:lineRule="auto"/>
              <w:ind w:firstLine="0" w:firstLineChars="0"/>
              <w:jc w:val="center"/>
              <w:rPr>
                <w:sz w:val="21"/>
                <w:szCs w:val="21"/>
                <w:lang w:bidi="mn-Mong-CN"/>
              </w:rPr>
            </w:pPr>
          </w:p>
        </w:tc>
        <w:tc>
          <w:tcPr>
            <w:tcW w:w="1907"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体外预应力</w:t>
            </w:r>
          </w:p>
        </w:tc>
        <w:tc>
          <w:tcPr>
            <w:tcW w:w="3632"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在线：1/3600 Hz</w:t>
            </w:r>
          </w:p>
          <w:p>
            <w:pPr>
              <w:snapToGrid w:val="0"/>
              <w:spacing w:line="240" w:lineRule="auto"/>
              <w:ind w:firstLine="0" w:firstLineChars="0"/>
              <w:jc w:val="center"/>
              <w:rPr>
                <w:sz w:val="21"/>
                <w:szCs w:val="21"/>
                <w:lang w:bidi="mn-Mong-CN"/>
              </w:rPr>
            </w:pPr>
            <w:r>
              <w:rPr>
                <w:rFonts w:hint="eastAsia"/>
                <w:sz w:val="21"/>
                <w:szCs w:val="21"/>
                <w:lang w:bidi="mn-Mong-CN"/>
              </w:rPr>
              <w:t>离线：每年3～4次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7" w:type="dxa"/>
            <w:vMerge w:val="continue"/>
            <w:shd w:val="clear" w:color="auto" w:fill="auto"/>
            <w:vAlign w:val="center"/>
          </w:tcPr>
          <w:p>
            <w:pPr>
              <w:snapToGrid w:val="0"/>
              <w:spacing w:line="240" w:lineRule="auto"/>
              <w:ind w:firstLine="0" w:firstLineChars="0"/>
              <w:jc w:val="center"/>
              <w:rPr>
                <w:sz w:val="21"/>
                <w:szCs w:val="21"/>
                <w:lang w:bidi="mn-Mong-CN"/>
              </w:rPr>
            </w:pPr>
          </w:p>
        </w:tc>
        <w:tc>
          <w:tcPr>
            <w:tcW w:w="1907"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断丝</w:t>
            </w:r>
          </w:p>
        </w:tc>
        <w:tc>
          <w:tcPr>
            <w:tcW w:w="3632"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触发采集：2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7" w:type="dxa"/>
            <w:vMerge w:val="continue"/>
            <w:shd w:val="clear" w:color="auto" w:fill="auto"/>
            <w:vAlign w:val="center"/>
          </w:tcPr>
          <w:p>
            <w:pPr>
              <w:snapToGrid w:val="0"/>
              <w:spacing w:line="240" w:lineRule="auto"/>
              <w:ind w:firstLine="0" w:firstLineChars="0"/>
              <w:jc w:val="center"/>
              <w:rPr>
                <w:sz w:val="21"/>
                <w:szCs w:val="21"/>
                <w:lang w:bidi="mn-Mong-CN"/>
              </w:rPr>
            </w:pPr>
          </w:p>
        </w:tc>
        <w:tc>
          <w:tcPr>
            <w:tcW w:w="1907"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螺栓状态</w:t>
            </w:r>
          </w:p>
        </w:tc>
        <w:tc>
          <w:tcPr>
            <w:tcW w:w="3632"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在线：1Hz</w:t>
            </w:r>
          </w:p>
          <w:p>
            <w:pPr>
              <w:snapToGrid w:val="0"/>
              <w:spacing w:line="240" w:lineRule="auto"/>
              <w:ind w:firstLine="0" w:firstLineChars="0"/>
              <w:jc w:val="center"/>
              <w:rPr>
                <w:sz w:val="21"/>
                <w:szCs w:val="21"/>
                <w:lang w:bidi="mn-Mong-CN"/>
              </w:rPr>
            </w:pPr>
            <w:r>
              <w:rPr>
                <w:rFonts w:hint="eastAsia"/>
                <w:sz w:val="21"/>
                <w:szCs w:val="21"/>
                <w:lang w:bidi="mn-Mong-CN"/>
              </w:rPr>
              <w:t>图像：每周1次</w:t>
            </w:r>
          </w:p>
          <w:p>
            <w:pPr>
              <w:snapToGrid w:val="0"/>
              <w:spacing w:line="240" w:lineRule="auto"/>
              <w:ind w:firstLine="0" w:firstLineChars="0"/>
              <w:jc w:val="center"/>
              <w:rPr>
                <w:sz w:val="21"/>
                <w:szCs w:val="21"/>
                <w:lang w:bidi="mn-Mong-CN"/>
              </w:rPr>
            </w:pPr>
            <w:r>
              <w:rPr>
                <w:rFonts w:hint="eastAsia"/>
                <w:sz w:val="21"/>
                <w:szCs w:val="21"/>
                <w:lang w:bidi="mn-Mong-CN"/>
              </w:rPr>
              <w:t>离线：每年1~2次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7" w:type="dxa"/>
            <w:vMerge w:val="continue"/>
            <w:shd w:val="clear" w:color="auto" w:fill="auto"/>
            <w:vAlign w:val="center"/>
          </w:tcPr>
          <w:p>
            <w:pPr>
              <w:snapToGrid w:val="0"/>
              <w:spacing w:line="240" w:lineRule="auto"/>
              <w:ind w:firstLine="0" w:firstLineChars="0"/>
              <w:jc w:val="center"/>
              <w:rPr>
                <w:sz w:val="21"/>
                <w:szCs w:val="21"/>
                <w:lang w:bidi="mn-Mong-CN"/>
              </w:rPr>
            </w:pPr>
          </w:p>
        </w:tc>
        <w:tc>
          <w:tcPr>
            <w:tcW w:w="1907"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索夹滑移</w:t>
            </w:r>
          </w:p>
        </w:tc>
        <w:tc>
          <w:tcPr>
            <w:tcW w:w="3632" w:type="dxa"/>
            <w:shd w:val="clear" w:color="auto" w:fill="auto"/>
            <w:vAlign w:val="center"/>
          </w:tcPr>
          <w:p>
            <w:pPr>
              <w:snapToGrid w:val="0"/>
              <w:spacing w:line="240" w:lineRule="auto"/>
              <w:ind w:firstLine="0" w:firstLineChars="0"/>
              <w:jc w:val="center"/>
              <w:rPr>
                <w:sz w:val="21"/>
                <w:szCs w:val="21"/>
                <w:lang w:bidi="mn-Mong-CN"/>
              </w:rPr>
            </w:pPr>
            <w:r>
              <w:rPr>
                <w:rFonts w:hint="eastAsia"/>
                <w:sz w:val="21"/>
                <w:szCs w:val="21"/>
                <w:lang w:bidi="mn-Mong-CN"/>
              </w:rPr>
              <w:t>在线：1Hz</w:t>
            </w:r>
          </w:p>
          <w:p>
            <w:pPr>
              <w:snapToGrid w:val="0"/>
              <w:spacing w:line="240" w:lineRule="auto"/>
              <w:ind w:firstLine="0" w:firstLineChars="0"/>
              <w:jc w:val="center"/>
              <w:rPr>
                <w:sz w:val="21"/>
                <w:szCs w:val="21"/>
                <w:lang w:bidi="mn-Mong-CN"/>
              </w:rPr>
            </w:pPr>
            <w:r>
              <w:rPr>
                <w:rFonts w:hint="eastAsia"/>
                <w:sz w:val="21"/>
                <w:szCs w:val="21"/>
                <w:lang w:bidi="mn-Mong-CN"/>
              </w:rPr>
              <w:t>图像：每周1次</w:t>
            </w:r>
          </w:p>
          <w:p>
            <w:pPr>
              <w:snapToGrid w:val="0"/>
              <w:spacing w:line="240" w:lineRule="auto"/>
              <w:ind w:firstLine="0" w:firstLineChars="0"/>
              <w:jc w:val="center"/>
              <w:rPr>
                <w:sz w:val="21"/>
                <w:szCs w:val="21"/>
                <w:lang w:bidi="mn-Mong-CN"/>
              </w:rPr>
            </w:pPr>
            <w:r>
              <w:rPr>
                <w:rFonts w:hint="eastAsia"/>
                <w:sz w:val="21"/>
                <w:szCs w:val="21"/>
                <w:lang w:bidi="mn-Mong-CN"/>
              </w:rPr>
              <w:t>离线：每年1~2次</w:t>
            </w:r>
          </w:p>
        </w:tc>
      </w:tr>
    </w:tbl>
    <w:p>
      <w:pPr>
        <w:ind w:firstLine="480"/>
      </w:pPr>
    </w:p>
    <w:p>
      <w:pPr>
        <w:pStyle w:val="4"/>
      </w:pPr>
      <w:r>
        <w:rPr>
          <w:rFonts w:hint="eastAsia"/>
        </w:rPr>
        <w:t>应针对不同的监测项设计对应的处理方法，应对数据进行滤波、特征提取、数据解耦、转换与统计、温度效应剔除等处理。</w:t>
      </w:r>
    </w:p>
    <w:p>
      <w:pPr>
        <w:pStyle w:val="4"/>
      </w:pPr>
      <w:r>
        <w:t>数据分析与应用</w:t>
      </w:r>
      <w:r>
        <w:rPr>
          <w:rFonts w:hint="eastAsia"/>
        </w:rPr>
        <w:t>应</w:t>
      </w:r>
      <w:r>
        <w:t>围绕桥梁安全与耐久，基于监测系统监测数据，对桥梁结构安全进行报警，并</w:t>
      </w:r>
      <w:r>
        <w:rPr>
          <w:rFonts w:hint="eastAsia"/>
        </w:rPr>
        <w:t>应</w:t>
      </w:r>
      <w:r>
        <w:t>定期进行桥梁运营状态评估。</w:t>
      </w:r>
    </w:p>
    <w:p>
      <w:pPr>
        <w:pStyle w:val="4"/>
      </w:pPr>
      <w:r>
        <w:rPr>
          <w:rFonts w:hint="eastAsia"/>
        </w:rPr>
        <w:t>环境监测数据分析应符合下列规定：</w:t>
      </w:r>
    </w:p>
    <w:p>
      <w:pPr>
        <w:ind w:firstLine="480"/>
      </w:pPr>
      <w:r>
        <w:t xml:space="preserve">1 </w:t>
      </w:r>
      <w:r>
        <w:rPr>
          <w:rFonts w:hint="eastAsia"/>
        </w:rPr>
        <w:t>温度监测数据分析应包括最高温度、最低温度等。</w:t>
      </w:r>
    </w:p>
    <w:p>
      <w:pPr>
        <w:ind w:firstLine="480"/>
      </w:pPr>
      <w:r>
        <w:t xml:space="preserve">2 </w:t>
      </w:r>
      <w:r>
        <w:rPr>
          <w:rFonts w:hint="eastAsia"/>
        </w:rPr>
        <w:t>湿度监测数据分析宜包括最大值、平均值、超限持续时间等。</w:t>
      </w:r>
    </w:p>
    <w:p>
      <w:pPr>
        <w:ind w:firstLine="480"/>
      </w:pPr>
      <w:r>
        <w:t xml:space="preserve">3 </w:t>
      </w:r>
      <w:r>
        <w:rPr>
          <w:rFonts w:hint="eastAsia"/>
        </w:rPr>
        <w:t>宜联合统计分析温度和湿度，评估对桥梁结构耐久性影响。</w:t>
      </w:r>
    </w:p>
    <w:p>
      <w:pPr>
        <w:pStyle w:val="4"/>
      </w:pPr>
      <w:r>
        <w:t>数据分析与应用应包括报警、</w:t>
      </w:r>
      <w:r>
        <w:rPr>
          <w:rFonts w:hint="eastAsia"/>
        </w:rPr>
        <w:t>定期</w:t>
      </w:r>
      <w:r>
        <w:t>运营监测数据分析、突发事件监测数据分析和状态评估。</w:t>
      </w:r>
    </w:p>
    <w:p>
      <w:pPr>
        <w:pStyle w:val="4"/>
      </w:pPr>
      <w:r>
        <w:t>数据分析、评估应专业可靠，宜采用</w:t>
      </w:r>
      <w:r>
        <w:rPr>
          <w:rFonts w:hint="eastAsia"/>
        </w:rPr>
        <w:t>对比</w:t>
      </w:r>
      <w:r>
        <w:t>分析和相关性分析等有效方法，</w:t>
      </w:r>
      <w:r>
        <w:rPr>
          <w:rFonts w:hint="eastAsia"/>
        </w:rPr>
        <w:t>应</w:t>
      </w:r>
      <w:r>
        <w:t>获得环境与作用以及结构响应与变化的实际情况以及趋势规律，开展状态评估。</w:t>
      </w:r>
    </w:p>
    <w:p>
      <w:pPr>
        <w:pStyle w:val="4"/>
      </w:pPr>
      <w:r>
        <w:rPr>
          <w:rFonts w:hint="eastAsia"/>
        </w:rPr>
        <w:t>应对桥梁日常运营监测数据进行统计分析，应符合下列规定：</w:t>
      </w:r>
    </w:p>
    <w:p>
      <w:pPr>
        <w:ind w:firstLine="480"/>
      </w:pPr>
      <w:r>
        <w:t xml:space="preserve">1 </w:t>
      </w:r>
      <w:r>
        <w:rPr>
          <w:rFonts w:hint="eastAsia"/>
        </w:rPr>
        <w:t>监测数据统计分析宜包括最大值、最小值、平均值、分位值、均方差、累计值等统计值。</w:t>
      </w:r>
    </w:p>
    <w:p>
      <w:pPr>
        <w:ind w:firstLine="480"/>
      </w:pPr>
      <w:r>
        <w:t xml:space="preserve">2 </w:t>
      </w:r>
      <w:r>
        <w:rPr>
          <w:rFonts w:hint="eastAsia"/>
        </w:rPr>
        <w:t>监测数据统计分析的时间长度应根据监测变量的采集频率和监测数据变化特征确定，并宜符合下列规定：</w:t>
      </w:r>
    </w:p>
    <w:p>
      <w:pPr>
        <w:ind w:firstLine="720" w:firstLineChars="300"/>
      </w:pPr>
      <w:r>
        <w:t>1</w:t>
      </w:r>
      <w:r>
        <w:rPr>
          <w:rFonts w:hint="eastAsia"/>
        </w:rPr>
        <w:t>）采集频率大于</w:t>
      </w:r>
      <w:r>
        <w:t>1Hz</w:t>
      </w:r>
      <w:r>
        <w:rPr>
          <w:rFonts w:hint="eastAsia"/>
        </w:rPr>
        <w:t>的动态监测数据，宜采用</w:t>
      </w:r>
      <w:r>
        <w:t>10</w:t>
      </w:r>
      <w:r>
        <w:rPr>
          <w:rFonts w:hint="eastAsia"/>
        </w:rPr>
        <w:t>分钟、日、月、年为统计分析时间段；</w:t>
      </w:r>
    </w:p>
    <w:p>
      <w:pPr>
        <w:ind w:firstLine="720" w:firstLineChars="300"/>
      </w:pPr>
      <w:r>
        <w:t>2</w:t>
      </w:r>
      <w:r>
        <w:rPr>
          <w:rFonts w:hint="eastAsia"/>
        </w:rPr>
        <w:t>）温湿度、静应变、静位移等静态监测变量，宜采用日、月、年为统计分析时间段；</w:t>
      </w:r>
    </w:p>
    <w:p>
      <w:pPr>
        <w:ind w:firstLine="720" w:firstLineChars="300"/>
      </w:pPr>
      <w:r>
        <w:t>3</w:t>
      </w:r>
      <w:r>
        <w:rPr>
          <w:rFonts w:hint="eastAsia"/>
        </w:rPr>
        <w:t>）风荷载、车辆荷载、时变索力等动态监测变量，宜根据变化特征确定统计分析时长；</w:t>
      </w:r>
    </w:p>
    <w:p>
      <w:pPr>
        <w:ind w:firstLine="720" w:firstLineChars="300"/>
      </w:pPr>
      <w:r>
        <w:rPr>
          <w:rFonts w:hint="eastAsia"/>
        </w:rPr>
        <w:t>4）基础冲刷、腐蚀等非实时监测变量，宜根据变化特征确定统计分析时长。</w:t>
      </w:r>
    </w:p>
    <w:p>
      <w:pPr>
        <w:ind w:firstLine="480"/>
      </w:pPr>
      <w:r>
        <w:rPr>
          <w:rFonts w:hint="eastAsia"/>
        </w:rPr>
        <w:t>3</w:t>
      </w:r>
      <w:r>
        <w:t xml:space="preserve"> </w:t>
      </w:r>
      <w:r>
        <w:rPr>
          <w:rFonts w:hint="eastAsia"/>
        </w:rPr>
        <w:t>对于不同技术状况评定等级的桥梁，应调整数据分析的重点，C级、D级桥梁宜逐步增加耐久性能和使用性能的数据分析内容。</w:t>
      </w:r>
    </w:p>
    <w:p>
      <w:pPr>
        <w:pStyle w:val="4"/>
      </w:pPr>
      <w:r>
        <w:rPr>
          <w:rFonts w:hint="eastAsia"/>
        </w:rPr>
        <w:t>作用监测数据分析应符合下列规定：</w:t>
      </w:r>
    </w:p>
    <w:p>
      <w:pPr>
        <w:ind w:firstLine="480"/>
      </w:pPr>
      <w:r>
        <w:t xml:space="preserve">1 </w:t>
      </w:r>
      <w:r>
        <w:rPr>
          <w:rFonts w:hint="eastAsia"/>
        </w:rPr>
        <w:t>车辆荷载监测数据分析应符合下列规定：</w:t>
      </w:r>
    </w:p>
    <w:p>
      <w:pPr>
        <w:ind w:firstLine="720" w:firstLineChars="300"/>
      </w:pPr>
      <w:r>
        <w:t>1</w:t>
      </w:r>
      <w:r>
        <w:rPr>
          <w:rFonts w:hint="eastAsia"/>
        </w:rPr>
        <w:t>）分析内容应包括车流量、轴重、车重、标准车当量数的日、月、年最大值及其统计分布，以及超载车数量、车重、轴重和时间；</w:t>
      </w:r>
    </w:p>
    <w:p>
      <w:pPr>
        <w:ind w:firstLine="720" w:firstLineChars="300"/>
      </w:pPr>
      <w:r>
        <w:t>2）</w:t>
      </w:r>
      <w:r>
        <w:rPr>
          <w:rFonts w:hint="eastAsia"/>
        </w:rPr>
        <w:t>宜将车辆荷载统计数据转化为疲劳荷载谱，应用于桥梁疲劳损伤评估；</w:t>
      </w:r>
    </w:p>
    <w:p>
      <w:pPr>
        <w:ind w:firstLine="720" w:firstLineChars="300"/>
      </w:pPr>
      <w:r>
        <w:t>3）</w:t>
      </w:r>
      <w:r>
        <w:rPr>
          <w:rFonts w:hint="eastAsia"/>
        </w:rPr>
        <w:t>可结合挠度、应变等监测数据和动态称重系统所监测的车重，计算挠度、应变等校验系数。</w:t>
      </w:r>
    </w:p>
    <w:p>
      <w:pPr>
        <w:ind w:firstLine="480"/>
      </w:pPr>
      <w:r>
        <w:t xml:space="preserve">2 </w:t>
      </w:r>
      <w:r>
        <w:rPr>
          <w:rFonts w:hint="eastAsia"/>
        </w:rPr>
        <w:t>风参数监测数据分析宜包括十分钟平均风速和风向、风攻角、脉动风速及脉动风速谱、湍流强度、阵风因子等，并宜给出风玫瑰图。</w:t>
      </w:r>
    </w:p>
    <w:p>
      <w:pPr>
        <w:ind w:firstLine="480"/>
      </w:pPr>
      <w:r>
        <w:t xml:space="preserve">3 </w:t>
      </w:r>
      <w:r>
        <w:rPr>
          <w:rFonts w:hint="eastAsia"/>
        </w:rPr>
        <w:t>地震监测数据分析宜包括下列内容：</w:t>
      </w:r>
    </w:p>
    <w:p>
      <w:pPr>
        <w:ind w:firstLine="720" w:firstLineChars="300"/>
      </w:pPr>
      <w:r>
        <w:t>1）</w:t>
      </w:r>
      <w:r>
        <w:rPr>
          <w:rFonts w:hint="eastAsia"/>
        </w:rPr>
        <w:t>桥岸地表加速度的峰值、持续时间、反应谱；</w:t>
      </w:r>
    </w:p>
    <w:p>
      <w:pPr>
        <w:ind w:firstLine="720" w:firstLineChars="300"/>
      </w:pPr>
      <w:r>
        <w:t>2）</w:t>
      </w:r>
      <w:r>
        <w:rPr>
          <w:rFonts w:hint="eastAsia"/>
        </w:rPr>
        <w:t>承台顶或桥墩底部加速度的峰值、持续时间、反应谱。</w:t>
      </w:r>
      <w:r>
        <w:t xml:space="preserve"> </w:t>
      </w:r>
    </w:p>
    <w:p>
      <w:pPr>
        <w:ind w:firstLine="480"/>
      </w:pPr>
      <w:r>
        <w:t xml:space="preserve">4 </w:t>
      </w:r>
      <w:r>
        <w:rPr>
          <w:rFonts w:hint="eastAsia"/>
        </w:rPr>
        <w:t>结构构件温湿度分析宜包括下列内容：</w:t>
      </w:r>
    </w:p>
    <w:p>
      <w:pPr>
        <w:ind w:firstLine="720" w:firstLineChars="300"/>
      </w:pPr>
      <w:r>
        <w:t>1</w:t>
      </w:r>
      <w:r>
        <w:rPr>
          <w:rFonts w:hint="eastAsia"/>
        </w:rPr>
        <w:t>）主缆等结构构件温度最大值、最小值和最大梯度；</w:t>
      </w:r>
    </w:p>
    <w:p>
      <w:pPr>
        <w:ind w:firstLine="720" w:firstLineChars="300"/>
      </w:pPr>
      <w:r>
        <w:t>2）</w:t>
      </w:r>
      <w:r>
        <w:rPr>
          <w:rFonts w:hint="eastAsia"/>
        </w:rPr>
        <w:t>锚室、鞍罩等易发生腐蚀部位湿度的最大值和持续时间。</w:t>
      </w:r>
      <w:r>
        <w:t xml:space="preserve"> </w:t>
      </w:r>
    </w:p>
    <w:p>
      <w:pPr>
        <w:pStyle w:val="4"/>
      </w:pPr>
      <w:r>
        <w:rPr>
          <w:rFonts w:hint="eastAsia"/>
        </w:rPr>
        <w:t>结构响应监测数据分析应符合下列规定：</w:t>
      </w:r>
    </w:p>
    <w:p>
      <w:pPr>
        <w:ind w:firstLine="480"/>
      </w:pPr>
      <w:r>
        <w:t xml:space="preserve">1 </w:t>
      </w:r>
      <w:r>
        <w:rPr>
          <w:rFonts w:hint="eastAsia"/>
        </w:rPr>
        <w:t>响应监测数据分析应包括桥梁变形、位移、转角、加速度、应变等响应监测数据分析等。</w:t>
      </w:r>
    </w:p>
    <w:p>
      <w:pPr>
        <w:ind w:firstLine="480"/>
      </w:pPr>
      <w:r>
        <w:t xml:space="preserve">2 </w:t>
      </w:r>
      <w:r>
        <w:rPr>
          <w:rFonts w:hint="eastAsia"/>
        </w:rPr>
        <w:t>位移数据分析应包括平均值和绝对最大值；对于结构静力位移和变形，应进行趋势变化分析。</w:t>
      </w:r>
    </w:p>
    <w:p>
      <w:pPr>
        <w:ind w:firstLine="480"/>
      </w:pPr>
      <w:r>
        <w:t xml:space="preserve">3 </w:t>
      </w:r>
      <w:r>
        <w:rPr>
          <w:rFonts w:hint="eastAsia"/>
        </w:rPr>
        <w:t>转角数据分析应包括最大值和最小值。</w:t>
      </w:r>
    </w:p>
    <w:p>
      <w:pPr>
        <w:ind w:firstLine="480"/>
      </w:pPr>
      <w:r>
        <w:t xml:space="preserve">4 </w:t>
      </w:r>
      <w:r>
        <w:rPr>
          <w:rFonts w:hint="eastAsia"/>
        </w:rPr>
        <w:t>索力时程数据分析应包括平均值、最大值、最小值等；应对监测索力与成桥索力、设计容许索力、破断索力以及定期检测索力进行对比分析；宜利用上下游成对拉索索力相关性，评估拉索状态。</w:t>
      </w:r>
    </w:p>
    <w:p>
      <w:pPr>
        <w:ind w:firstLine="480"/>
      </w:pPr>
      <w:r>
        <w:t xml:space="preserve">5 </w:t>
      </w:r>
      <w:r>
        <w:rPr>
          <w:rFonts w:hint="eastAsia"/>
        </w:rPr>
        <w:t>锚跨张力数据应分析其最大值、累积变化值、变化趋势。</w:t>
      </w:r>
    </w:p>
    <w:p>
      <w:pPr>
        <w:ind w:firstLine="480"/>
      </w:pPr>
      <w:r>
        <w:t xml:space="preserve">6 </w:t>
      </w:r>
      <w:r>
        <w:rPr>
          <w:rFonts w:hint="eastAsia"/>
        </w:rPr>
        <w:t>支座反力数据分析应包括平均值、最大值、最小值、变化量等。</w:t>
      </w:r>
    </w:p>
    <w:p>
      <w:pPr>
        <w:ind w:firstLine="480"/>
      </w:pPr>
      <w:r>
        <w:t xml:space="preserve">7 </w:t>
      </w:r>
      <w:r>
        <w:rPr>
          <w:rFonts w:hint="eastAsia"/>
        </w:rPr>
        <w:t>加速度数据分析应包括绝对最大值、最大均方根值、频谱、大幅度振动的持续时间，宜进行结构振动与风速风向的相关性分析。</w:t>
      </w:r>
    </w:p>
    <w:p>
      <w:pPr>
        <w:ind w:firstLine="480"/>
      </w:pPr>
      <w:r>
        <w:t xml:space="preserve">8 </w:t>
      </w:r>
      <w:r>
        <w:rPr>
          <w:rFonts w:hint="eastAsia"/>
        </w:rPr>
        <w:t>利用加速度监测数据进行桥梁模态参数分析应符合下列规定。</w:t>
      </w:r>
    </w:p>
    <w:p>
      <w:pPr>
        <w:ind w:firstLine="720" w:firstLineChars="300"/>
      </w:pPr>
      <w:r>
        <w:t>1</w:t>
      </w:r>
      <w:r>
        <w:rPr>
          <w:rFonts w:hint="eastAsia"/>
        </w:rPr>
        <w:t>）桥梁模态参数应包括结构频率和振型，可包括阻尼比；</w:t>
      </w:r>
    </w:p>
    <w:p>
      <w:pPr>
        <w:ind w:firstLine="720" w:firstLineChars="300"/>
      </w:pPr>
      <w:r>
        <w:t>2</w:t>
      </w:r>
      <w:r>
        <w:rPr>
          <w:rFonts w:hint="eastAsia"/>
        </w:rPr>
        <w:t>）桥梁模态参数识别应选用成熟可靠的模态识别方法；</w:t>
      </w:r>
    </w:p>
    <w:p>
      <w:pPr>
        <w:ind w:firstLine="720" w:firstLineChars="300"/>
      </w:pPr>
      <w:r>
        <w:t>3</w:t>
      </w:r>
      <w:r>
        <w:rPr>
          <w:rFonts w:hint="eastAsia"/>
        </w:rPr>
        <w:t>）宜分析桥梁频率和振型识别结果与桥梁温度和风速等环境变量的相关关系；</w:t>
      </w:r>
    </w:p>
    <w:p>
      <w:pPr>
        <w:ind w:firstLine="720" w:firstLineChars="300"/>
      </w:pPr>
      <w:r>
        <w:t>4</w:t>
      </w:r>
      <w:r>
        <w:rPr>
          <w:rFonts w:hint="eastAsia"/>
        </w:rPr>
        <w:t>）应分析桥梁模态参数随服役时间的变化规律。</w:t>
      </w:r>
    </w:p>
    <w:p>
      <w:pPr>
        <w:ind w:firstLine="480"/>
      </w:pPr>
      <w:r>
        <w:t xml:space="preserve">9 </w:t>
      </w:r>
      <w:r>
        <w:rPr>
          <w:rFonts w:hint="eastAsia"/>
        </w:rPr>
        <w:t>应变时程数据分析应包括平均值、最大值、最小值、应力幅最大值和循环次数等；并宜采用雨流法和</w:t>
      </w:r>
      <w:r>
        <w:t>Miner</w:t>
      </w:r>
      <w:r>
        <w:rPr>
          <w:rFonts w:hint="eastAsia"/>
        </w:rPr>
        <w:t>准则计算构件疲劳累积损伤指数；非焊接且不出现拉应力的结构构件可不进行疲劳分析。</w:t>
      </w:r>
    </w:p>
    <w:p>
      <w:pPr>
        <w:ind w:firstLine="480"/>
      </w:pPr>
      <w:r>
        <w:t xml:space="preserve">10 </w:t>
      </w:r>
      <w:r>
        <w:rPr>
          <w:rFonts w:hint="eastAsia"/>
        </w:rPr>
        <w:t>可采用机器学习等方法深入分析监测数据，宜提取数据中可以反映桥梁状态的特征变量对桥梁状态进行评估。</w:t>
      </w:r>
    </w:p>
    <w:p>
      <w:pPr>
        <w:pStyle w:val="4"/>
      </w:pPr>
      <w:r>
        <w:rPr>
          <w:rFonts w:hint="eastAsia"/>
        </w:rPr>
        <w:t>结构变化监测数据分析应符合下列规定：</w:t>
      </w:r>
    </w:p>
    <w:p>
      <w:pPr>
        <w:ind w:firstLine="480"/>
      </w:pPr>
      <w:r>
        <w:t xml:space="preserve">1 </w:t>
      </w:r>
      <w:r>
        <w:rPr>
          <w:rFonts w:hint="eastAsia"/>
        </w:rPr>
        <w:t>结构变化监测数据分析应包括基础冲刷、锚碇位移、裂缝、腐蚀、索力、支座反力、索夹螺栓紧固力、高强螺栓紧固力、索夹滑移等数据分析。应结合检测数据进行综合分析，并宜进行趋势项提取和分离。</w:t>
      </w:r>
    </w:p>
    <w:p>
      <w:pPr>
        <w:ind w:firstLine="480"/>
      </w:pPr>
      <w:r>
        <w:t xml:space="preserve">2 </w:t>
      </w:r>
      <w:r>
        <w:rPr>
          <w:rFonts w:hint="eastAsia"/>
        </w:rPr>
        <w:t>主缆锚碇位移、拱脚位移分析宜包括位移最大值和累积变化值。</w:t>
      </w:r>
    </w:p>
    <w:p>
      <w:pPr>
        <w:ind w:firstLine="480"/>
      </w:pPr>
      <w:r>
        <w:t xml:space="preserve">3 </w:t>
      </w:r>
      <w:r>
        <w:rPr>
          <w:rFonts w:hint="eastAsia"/>
        </w:rPr>
        <w:t>桥墩冲刷监测数据分析宜包括冲刷深度最大值及其变化规律，可包括各等级流速和流向统计值、冲刷深度与流速的相关性。</w:t>
      </w:r>
    </w:p>
    <w:p>
      <w:pPr>
        <w:ind w:firstLine="480"/>
      </w:pPr>
      <w:r>
        <w:t xml:space="preserve">4 </w:t>
      </w:r>
      <w:r>
        <w:rPr>
          <w:rFonts w:hint="eastAsia"/>
        </w:rPr>
        <w:t>裂缝数据分析应包括裂缝位置、走向、裂缝宽度的最大值及其变化规律，宜分析裂缝与重车荷载的相关性。</w:t>
      </w:r>
    </w:p>
    <w:p>
      <w:pPr>
        <w:ind w:firstLine="480"/>
      </w:pPr>
      <w:r>
        <w:t xml:space="preserve">5 </w:t>
      </w:r>
      <w:r>
        <w:rPr>
          <w:rFonts w:hint="eastAsia"/>
        </w:rPr>
        <w:t>腐蚀数据分析宜包括腐蚀程度、腐蚀进程、氯离子浓度。</w:t>
      </w:r>
    </w:p>
    <w:p>
      <w:pPr>
        <w:ind w:firstLine="480"/>
      </w:pPr>
      <w:r>
        <w:t xml:space="preserve">6 </w:t>
      </w:r>
      <w:r>
        <w:rPr>
          <w:rFonts w:hint="eastAsia"/>
        </w:rPr>
        <w:t>索夹螺栓紧固力和索夹滑移数据应分析其平均值、最大值、最小值和累积变化值。</w:t>
      </w:r>
    </w:p>
    <w:p>
      <w:pPr>
        <w:pStyle w:val="4"/>
      </w:pPr>
      <w:r>
        <w:rPr>
          <w:rFonts w:hint="eastAsia"/>
        </w:rPr>
        <w:t>监测数据相关性分析应符合下列规定：</w:t>
      </w:r>
    </w:p>
    <w:p>
      <w:pPr>
        <w:ind w:firstLine="480"/>
      </w:pPr>
      <w:r>
        <w:t xml:space="preserve">1 </w:t>
      </w:r>
      <w:r>
        <w:rPr>
          <w:rFonts w:hint="eastAsia"/>
        </w:rPr>
        <w:t>相关性分析内容宜包括主梁位移与风速、主梁挠度与温度、主梁挠度和索力等不同类型监测变量相关性分析，以及拉索索力、截面应变、索塔位移、支座位移等同类型监测变量相关性分析。</w:t>
      </w:r>
    </w:p>
    <w:p>
      <w:pPr>
        <w:ind w:firstLine="480"/>
      </w:pPr>
      <w:r>
        <w:t xml:space="preserve">2 </w:t>
      </w:r>
      <w:r>
        <w:rPr>
          <w:rFonts w:hint="eastAsia"/>
        </w:rPr>
        <w:t>监测数据相关性分析宜采用线性相关系数、相关函数、相干函数等指标，也可采用机器学习等人工智能方法。</w:t>
      </w:r>
    </w:p>
    <w:p>
      <w:pPr>
        <w:ind w:firstLine="480"/>
      </w:pPr>
      <w:r>
        <w:t xml:space="preserve">3 </w:t>
      </w:r>
      <w:r>
        <w:rPr>
          <w:rFonts w:hint="eastAsia"/>
        </w:rPr>
        <w:t>宜根据相关性分析结果，判断桥梁状态是否发生变化。</w:t>
      </w:r>
    </w:p>
    <w:p>
      <w:pPr>
        <w:pStyle w:val="4"/>
      </w:pPr>
      <w:r>
        <w:rPr>
          <w:rFonts w:hint="eastAsia"/>
        </w:rPr>
        <w:t>对于大跨度悬索桥、斜拉桥，当I类养护的合格桥梁和II类养护的A级、B类桥梁遭受桥面</w:t>
      </w:r>
      <w:r>
        <w:t>10</w:t>
      </w:r>
      <w:r>
        <w:rPr>
          <w:rFonts w:hint="eastAsia"/>
        </w:rPr>
        <w:t>分钟平均横桥向风速大于</w:t>
      </w:r>
      <w:r>
        <w:t>0.8</w:t>
      </w:r>
      <w:r>
        <w:rPr>
          <w:rFonts w:hint="eastAsia"/>
        </w:rPr>
        <w:t>倍桥面设计风速的台风时，或II类养护的C类桥梁遭受桥面10分钟平均横桥向风速大于</w:t>
      </w:r>
      <w:r>
        <w:t>0.75</w:t>
      </w:r>
      <w:r>
        <w:rPr>
          <w:rFonts w:hint="eastAsia"/>
        </w:rPr>
        <w:t>倍桥面设计风速的台风时，或I类养护的不合格桥梁和II类养护的D类桥梁遭受桥面10分钟平均横桥向风速大于</w:t>
      </w:r>
      <w:r>
        <w:t>0.7</w:t>
      </w:r>
      <w:r>
        <w:rPr>
          <w:rFonts w:hint="eastAsia"/>
        </w:rPr>
        <w:t>倍桥面设计风速的台风时，应进行桥梁结构静力和动力响应专项分析，分析内容应包括：</w:t>
      </w:r>
    </w:p>
    <w:p>
      <w:pPr>
        <w:ind w:firstLine="480"/>
      </w:pPr>
      <w:r>
        <w:t xml:space="preserve">1 </w:t>
      </w:r>
      <w:r>
        <w:rPr>
          <w:rFonts w:hint="eastAsia"/>
        </w:rPr>
        <w:t>宜计算统计</w:t>
      </w:r>
      <w:r>
        <w:t>10</w:t>
      </w:r>
      <w:r>
        <w:rPr>
          <w:rFonts w:hint="eastAsia"/>
        </w:rPr>
        <w:t>分钟时距的平均风速、平均风向角，可计算分析平均风攻角、湍流强度、阵风因子和脉动风功率谱等风参数及其随时间的变化趋势。</w:t>
      </w:r>
    </w:p>
    <w:p>
      <w:pPr>
        <w:ind w:firstLine="480"/>
      </w:pPr>
      <w:r>
        <w:t xml:space="preserve">2 </w:t>
      </w:r>
      <w:r>
        <w:rPr>
          <w:rFonts w:hint="eastAsia"/>
        </w:rPr>
        <w:t>应计算统计</w:t>
      </w:r>
      <w:r>
        <w:t>10</w:t>
      </w:r>
      <w:r>
        <w:rPr>
          <w:rFonts w:hint="eastAsia"/>
        </w:rPr>
        <w:t>分钟时主梁振动加速度和位移均方根值、振动频率和振型特征，并可分析与风参数的相关性。</w:t>
      </w:r>
    </w:p>
    <w:p>
      <w:pPr>
        <w:ind w:firstLine="480"/>
      </w:pPr>
      <w:r>
        <w:t xml:space="preserve">3 </w:t>
      </w:r>
      <w:r>
        <w:rPr>
          <w:rFonts w:hint="eastAsia"/>
        </w:rPr>
        <w:t>宜计算分析在强风作用下</w:t>
      </w:r>
      <w:r>
        <w:t>10</w:t>
      </w:r>
      <w:r>
        <w:rPr>
          <w:rFonts w:hint="eastAsia"/>
        </w:rPr>
        <w:t>分钟时距的主梁变形、塔顶偏位、主缆偏位、索力等的最大值、最小值、变化幅值及其随时间和风速的变化趋势。</w:t>
      </w:r>
    </w:p>
    <w:p>
      <w:pPr>
        <w:ind w:firstLine="480"/>
      </w:pPr>
      <w:r>
        <w:t xml:space="preserve">4 </w:t>
      </w:r>
      <w:r>
        <w:rPr>
          <w:rFonts w:hint="eastAsia"/>
        </w:rPr>
        <w:t>当在强风作用下桥梁频率参数发生</w:t>
      </w:r>
      <w:r>
        <w:t>3%</w:t>
      </w:r>
      <w:r>
        <w:rPr>
          <w:rFonts w:hint="eastAsia"/>
        </w:rPr>
        <w:t>以上或者振型</w:t>
      </w:r>
      <w:r>
        <w:t>MAC</w:t>
      </w:r>
      <w:r>
        <w:rPr>
          <w:rFonts w:hint="eastAsia"/>
        </w:rPr>
        <w:t>值发生</w:t>
      </w:r>
      <w:r>
        <w:t>5%</w:t>
      </w:r>
      <w:r>
        <w:rPr>
          <w:rFonts w:hint="eastAsia"/>
        </w:rPr>
        <w:t>以上变化或者主梁应力、主梁水平变形、塔顶偏位、主缆偏位、索力等超过设计值，应对桥梁进行专项检查。</w:t>
      </w:r>
    </w:p>
    <w:p>
      <w:pPr>
        <w:pStyle w:val="4"/>
      </w:pPr>
      <w:r>
        <w:rPr>
          <w:rFonts w:hint="eastAsia"/>
        </w:rPr>
        <w:t>宜对悬索桥、斜拉桥、钢结构梁桥是否发生涡振进行判断；当发生涡振时且</w:t>
      </w:r>
      <w:r>
        <w:t>10</w:t>
      </w:r>
      <w:r>
        <w:rPr>
          <w:rFonts w:hint="eastAsia"/>
        </w:rPr>
        <w:t>分钟加速度均方根值大于</w:t>
      </w:r>
      <w:r>
        <w:t>31.5 cm/s</w:t>
      </w:r>
      <w:r>
        <w:rPr>
          <w:vertAlign w:val="superscript"/>
        </w:rPr>
        <w:t>2</w:t>
      </w:r>
      <w:r>
        <w:rPr>
          <w:rFonts w:hint="eastAsia"/>
        </w:rPr>
        <w:t>且振动时间持续</w:t>
      </w:r>
      <w:r>
        <w:t>30</w:t>
      </w:r>
      <w:r>
        <w:rPr>
          <w:rFonts w:hint="eastAsia"/>
        </w:rPr>
        <w:t>分钟，应进行主梁涡振特性专项分析，分析内容应包括：</w:t>
      </w:r>
    </w:p>
    <w:p>
      <w:pPr>
        <w:ind w:firstLine="480"/>
      </w:pPr>
      <w:r>
        <w:t xml:space="preserve">1 </w:t>
      </w:r>
      <w:r>
        <w:rPr>
          <w:rFonts w:hint="eastAsia"/>
        </w:rPr>
        <w:t>进行涡振判定。宜采用加速度均方根值和振动能量比特征双参数作为判定涡振的指标。</w:t>
      </w:r>
    </w:p>
    <w:p>
      <w:pPr>
        <w:ind w:firstLine="480"/>
      </w:pPr>
      <w:r>
        <w:t xml:space="preserve">2 </w:t>
      </w:r>
      <w:r>
        <w:rPr>
          <w:rFonts w:hint="eastAsia"/>
        </w:rPr>
        <w:t>计算分析</w:t>
      </w:r>
      <w:r>
        <w:t>10</w:t>
      </w:r>
      <w:r>
        <w:rPr>
          <w:rFonts w:hint="eastAsia"/>
        </w:rPr>
        <w:t>分钟主梁加速度和位移均方根值、振动频率、振型和持时特征；计算分析涡振发生全过程中</w:t>
      </w:r>
      <w:r>
        <w:t>10</w:t>
      </w:r>
      <w:r>
        <w:rPr>
          <w:rFonts w:hint="eastAsia"/>
        </w:rPr>
        <w:t>分钟时距平均风速、风向、风攻角；对涡振和风参数进行相关性分析，获得现场桥梁涡振发生的风况条件。</w:t>
      </w:r>
    </w:p>
    <w:p>
      <w:pPr>
        <w:ind w:firstLine="480"/>
      </w:pPr>
      <w:r>
        <w:t xml:space="preserve">3 </w:t>
      </w:r>
      <w:r>
        <w:rPr>
          <w:rFonts w:hint="eastAsia"/>
        </w:rPr>
        <w:t>根据主梁振动的</w:t>
      </w:r>
      <w:r>
        <w:t>10</w:t>
      </w:r>
      <w:r>
        <w:rPr>
          <w:rFonts w:hint="eastAsia"/>
        </w:rPr>
        <w:t>分钟加速度均方根值、频率、振型和持时评价行车舒适度。</w:t>
      </w:r>
    </w:p>
    <w:p>
      <w:pPr>
        <w:ind w:firstLine="480"/>
      </w:pPr>
      <w:r>
        <w:t xml:space="preserve">4 </w:t>
      </w:r>
      <w:r>
        <w:rPr>
          <w:rFonts w:hint="eastAsia"/>
        </w:rPr>
        <w:t>当主梁发生</w:t>
      </w:r>
      <w:r>
        <w:t>10</w:t>
      </w:r>
      <w:r>
        <w:rPr>
          <w:rFonts w:hint="eastAsia"/>
        </w:rPr>
        <w:t>分钟加速度均方根值大于</w:t>
      </w:r>
      <w:r>
        <w:t>80 cm/s</w:t>
      </w:r>
      <w:r>
        <w:rPr>
          <w:vertAlign w:val="superscript"/>
        </w:rPr>
        <w:t>2</w:t>
      </w:r>
      <w:r>
        <w:rPr>
          <w:rFonts w:hint="eastAsia"/>
        </w:rPr>
        <w:t>剧烈振动，分析涡振前后主梁模态参数特征以及连接构件状态特征，若桥梁结构状态发生变化，应对桥梁进行专项检查。</w:t>
      </w:r>
    </w:p>
    <w:p>
      <w:pPr>
        <w:pStyle w:val="4"/>
      </w:pPr>
      <w:r>
        <w:rPr>
          <w:rFonts w:hint="eastAsia"/>
        </w:rPr>
        <w:t>当桥梁拉（吊）索发生加速度均方根值大于</w:t>
      </w:r>
      <w:r>
        <w:t>300 cm/s</w:t>
      </w:r>
      <w:r>
        <w:rPr>
          <w:vertAlign w:val="superscript"/>
        </w:rPr>
        <w:t>2</w:t>
      </w:r>
      <w:r>
        <w:rPr>
          <w:rFonts w:hint="eastAsia"/>
        </w:rPr>
        <w:t>大幅度振动且振动时间持续</w:t>
      </w:r>
      <w:r>
        <w:t>30</w:t>
      </w:r>
      <w:r>
        <w:rPr>
          <w:rFonts w:hint="eastAsia"/>
        </w:rPr>
        <w:t>分钟，应进行拉（吊）索异常振动专项分析，分析内容宜包括：</w:t>
      </w:r>
    </w:p>
    <w:p>
      <w:pPr>
        <w:ind w:firstLine="480"/>
      </w:pPr>
      <w:r>
        <w:t xml:space="preserve">1 </w:t>
      </w:r>
      <w:r>
        <w:rPr>
          <w:rFonts w:hint="eastAsia"/>
        </w:rPr>
        <w:t>计算分析拉（吊）索异常振动加速度和位移</w:t>
      </w:r>
      <w:r>
        <w:t>10</w:t>
      </w:r>
      <w:r>
        <w:rPr>
          <w:rFonts w:hint="eastAsia"/>
        </w:rPr>
        <w:t>分钟时距均方根值、振动频率、振型和持时特征。</w:t>
      </w:r>
    </w:p>
    <w:p>
      <w:pPr>
        <w:ind w:firstLine="480"/>
      </w:pPr>
      <w:r>
        <w:t xml:space="preserve">2 </w:t>
      </w:r>
      <w:r>
        <w:rPr>
          <w:rFonts w:hint="eastAsia"/>
        </w:rPr>
        <w:t>计算分析拉（吊）索异常振动发生全过程中</w:t>
      </w:r>
      <w:r>
        <w:t>10</w:t>
      </w:r>
      <w:r>
        <w:rPr>
          <w:rFonts w:hint="eastAsia"/>
        </w:rPr>
        <w:t>分钟时距平均风速、风偏角、风攻角和降雨量、主梁的振动和模态参数特征。</w:t>
      </w:r>
    </w:p>
    <w:p>
      <w:pPr>
        <w:ind w:firstLine="480"/>
      </w:pPr>
      <w:r>
        <w:t xml:space="preserve">3 </w:t>
      </w:r>
      <w:r>
        <w:rPr>
          <w:rFonts w:hint="eastAsia"/>
        </w:rPr>
        <w:t>对拉（吊）索异常振动和风雨参数、主梁振动特征进行相关性分析，获得索结构的振动类型。</w:t>
      </w:r>
    </w:p>
    <w:p>
      <w:pPr>
        <w:ind w:firstLine="480"/>
      </w:pPr>
      <w:r>
        <w:t xml:space="preserve">4 </w:t>
      </w:r>
      <w:r>
        <w:rPr>
          <w:rFonts w:hint="eastAsia"/>
        </w:rPr>
        <w:t>分析拉（吊）索异常振动频率、阻尼和索力变化特征，评估拉（吊）索锚固结构和阻尼器的安全和工作状态。</w:t>
      </w:r>
    </w:p>
    <w:p>
      <w:pPr>
        <w:pStyle w:val="4"/>
      </w:pPr>
      <w:r>
        <w:rPr>
          <w:rFonts w:hint="eastAsia"/>
        </w:rPr>
        <w:t>当自由场水平地震动加速度峰值大于设计</w:t>
      </w:r>
      <w:r>
        <w:t>E1</w:t>
      </w:r>
      <w:r>
        <w:rPr>
          <w:rFonts w:hint="eastAsia"/>
        </w:rPr>
        <w:t>地震作用加速度峰值时，桥梁震中监测数据分析、震前和震后监测数据对比分析应按下列规定进行：</w:t>
      </w:r>
    </w:p>
    <w:p>
      <w:pPr>
        <w:ind w:firstLine="480"/>
      </w:pPr>
      <w:r>
        <w:t xml:space="preserve">1 </w:t>
      </w:r>
      <w:r>
        <w:rPr>
          <w:rFonts w:hint="eastAsia"/>
        </w:rPr>
        <w:t>震中监测数据分析宜包括：桥址附近自由场地面加速度的峰值、均方根值、反应谱反应；桥墩处加速度的峰值、均方根值、反应谱、频域反应；桥梁上部结构的加速度、变形和位移等整体响应的峰值、均方根值；桥梁关键部位的监测应变、支座反力、支座位移、索力等局部响应的峰值。</w:t>
      </w:r>
    </w:p>
    <w:p>
      <w:pPr>
        <w:ind w:firstLine="480"/>
      </w:pPr>
      <w:r>
        <w:t xml:space="preserve">2 </w:t>
      </w:r>
      <w:r>
        <w:rPr>
          <w:rFonts w:hint="eastAsia"/>
        </w:rPr>
        <w:t>震前与震后监测数据对比分析宜包括：桥梁震前和震后的频率、振型和阻尼比；桥梁上部结构、下部结构、支座位移等的震前和震后的静态位移和转角响应；桥梁主要构件震前和震后的应变平均响应值；桥梁缆索构件震前和震后的索力值。</w:t>
      </w:r>
    </w:p>
    <w:p>
      <w:pPr>
        <w:ind w:firstLine="480"/>
      </w:pPr>
      <w:r>
        <w:t xml:space="preserve">3 </w:t>
      </w:r>
      <w:r>
        <w:rPr>
          <w:rFonts w:hint="eastAsia"/>
        </w:rPr>
        <w:t>根据桥梁震前、震中和震后监测数据的分析结果发现桥梁状态发生变化时，应对桥梁进行专项检查。</w:t>
      </w:r>
    </w:p>
    <w:p>
      <w:pPr>
        <w:pStyle w:val="4"/>
      </w:pPr>
      <w:r>
        <w:rPr>
          <w:rFonts w:hint="eastAsia"/>
        </w:rPr>
        <w:t>车辆超载分析应符合下列规定：</w:t>
      </w:r>
    </w:p>
    <w:p>
      <w:pPr>
        <w:ind w:firstLine="480"/>
      </w:pPr>
      <w:r>
        <w:t xml:space="preserve">1 </w:t>
      </w:r>
      <w:r>
        <w:rPr>
          <w:rFonts w:hint="eastAsia"/>
        </w:rPr>
        <w:t>当车辆荷载超过设计值时，应对监测数据进行直接分析并与设计值对比；宜利用修正的结构模型，进行桥梁在超载车荷载作用下的主梁挠度、支座反力、构件内力</w:t>
      </w:r>
      <w:r>
        <w:t>/</w:t>
      </w:r>
      <w:r>
        <w:rPr>
          <w:rFonts w:hint="eastAsia"/>
        </w:rPr>
        <w:t>应力等验算。</w:t>
      </w:r>
    </w:p>
    <w:p>
      <w:pPr>
        <w:ind w:firstLine="480"/>
      </w:pPr>
      <w:r>
        <w:t xml:space="preserve">2 </w:t>
      </w:r>
      <w:r>
        <w:rPr>
          <w:rFonts w:hint="eastAsia"/>
        </w:rPr>
        <w:t>当超载车辆过桥时，宜将监测的桥梁变形、支座反力、构件内力等响应与本条第一款中计算数值进行比较；当监测数值与计算数值存在较大差异时，宜对桥梁进行进一步检测。</w:t>
      </w:r>
    </w:p>
    <w:p>
      <w:pPr>
        <w:pStyle w:val="4"/>
      </w:pPr>
      <w:r>
        <w:rPr>
          <w:rFonts w:hint="eastAsia"/>
        </w:rPr>
        <w:t>当桥梁遭受漂浮物、船舶或</w:t>
      </w:r>
      <w:r>
        <w:t>车辆</w:t>
      </w:r>
      <w:r>
        <w:rPr>
          <w:rFonts w:hint="eastAsia"/>
        </w:rPr>
        <w:t>撞击后，应按下列规定进行监测数据分析：</w:t>
      </w:r>
    </w:p>
    <w:p>
      <w:pPr>
        <w:ind w:firstLine="480"/>
      </w:pPr>
      <w:r>
        <w:t xml:space="preserve">1 </w:t>
      </w:r>
      <w:r>
        <w:rPr>
          <w:rFonts w:hint="eastAsia"/>
        </w:rPr>
        <w:t>应分析视频数据，确定桥梁被漂浮物、船舶或车辆撞击的时间和位置。</w:t>
      </w:r>
    </w:p>
    <w:p>
      <w:pPr>
        <w:ind w:firstLine="480"/>
      </w:pPr>
      <w:r>
        <w:t xml:space="preserve">2 </w:t>
      </w:r>
      <w:r>
        <w:rPr>
          <w:rFonts w:hint="eastAsia"/>
        </w:rPr>
        <w:t>应分析靠近漂浮物、船舶或</w:t>
      </w:r>
      <w:r>
        <w:t>车辆</w:t>
      </w:r>
      <w:r>
        <w:rPr>
          <w:rFonts w:hint="eastAsia"/>
        </w:rPr>
        <w:t>处桥墩底部、主梁、索塔顶部撞击后</w:t>
      </w:r>
      <w:r>
        <w:t>20s</w:t>
      </w:r>
      <w:r>
        <w:rPr>
          <w:rFonts w:hint="eastAsia"/>
        </w:rPr>
        <w:t>内的加速度响应绝对最大值、均方根值和频谱及加速度响应衰减规律。</w:t>
      </w:r>
    </w:p>
    <w:p>
      <w:pPr>
        <w:ind w:firstLine="480"/>
      </w:pPr>
      <w:r>
        <w:t xml:space="preserve">3 </w:t>
      </w:r>
      <w:r>
        <w:rPr>
          <w:rFonts w:hint="eastAsia"/>
        </w:rPr>
        <w:t>应分析漂浮物、船舶或</w:t>
      </w:r>
      <w:r>
        <w:t>车辆</w:t>
      </w:r>
      <w:r>
        <w:rPr>
          <w:rFonts w:hint="eastAsia"/>
        </w:rPr>
        <w:t>撞击后</w:t>
      </w:r>
      <w:r>
        <w:t>20s</w:t>
      </w:r>
      <w:r>
        <w:rPr>
          <w:rFonts w:hint="eastAsia"/>
        </w:rPr>
        <w:t>内结构变形和位移等整体响应监测数据的绝对最大值、均方根值和频谱，宜分析支座反力、支座位移、应变和索力等结构局部响应监测数据的绝对最大值和均方根值。</w:t>
      </w:r>
    </w:p>
    <w:p>
      <w:pPr>
        <w:ind w:firstLine="480"/>
      </w:pPr>
      <w:r>
        <w:t xml:space="preserve">4 </w:t>
      </w:r>
      <w:r>
        <w:rPr>
          <w:rFonts w:hint="eastAsia"/>
        </w:rPr>
        <w:t>宜选择漂浮物、船舶或</w:t>
      </w:r>
      <w:r>
        <w:t>车辆</w:t>
      </w:r>
      <w:r>
        <w:rPr>
          <w:rFonts w:hint="eastAsia"/>
        </w:rPr>
        <w:t>撞击前后加速度监测数据进行模态分析。</w:t>
      </w:r>
    </w:p>
    <w:p>
      <w:pPr>
        <w:ind w:firstLine="480"/>
      </w:pPr>
      <w:r>
        <w:t xml:space="preserve">5 </w:t>
      </w:r>
      <w:r>
        <w:rPr>
          <w:rFonts w:hint="eastAsia"/>
        </w:rPr>
        <w:t>当桥梁模态参数在漂浮物、船撞或</w:t>
      </w:r>
      <w:r>
        <w:t>车撞</w:t>
      </w:r>
      <w:r>
        <w:rPr>
          <w:rFonts w:hint="eastAsia"/>
        </w:rPr>
        <w:t>前后发生明显变化，或者撞击后桥梁结构关键构件</w:t>
      </w:r>
      <w:r>
        <w:t>/</w:t>
      </w:r>
      <w:r>
        <w:rPr>
          <w:rFonts w:hint="eastAsia"/>
        </w:rPr>
        <w:t>部位的位移和应变响应出现明显残余量时，应通知桥梁养管单位进行检查。</w:t>
      </w:r>
    </w:p>
    <w:p>
      <w:pPr>
        <w:pStyle w:val="4"/>
      </w:pPr>
      <w:r>
        <w:rPr>
          <w:rFonts w:hint="eastAsia"/>
        </w:rPr>
        <w:t>当桥梁遭遇洪水时和洪水后，宜分析洪水期间桥墩冲刷深度变化量及变化速率；当桥梁冲刷深度达到</w:t>
      </w:r>
      <w:r>
        <w:t>0.7</w:t>
      </w:r>
      <w:r>
        <w:rPr>
          <w:rFonts w:hint="eastAsia"/>
        </w:rPr>
        <w:t>倍设计值且变化速率较快时，宜建议及时采取桥梁封闭或限行措施。</w:t>
      </w:r>
    </w:p>
    <w:p>
      <w:pPr>
        <w:pStyle w:val="4"/>
      </w:pPr>
      <w:r>
        <w:rPr>
          <w:rFonts w:hint="eastAsia"/>
        </w:rPr>
        <w:t>当桥梁遭遇滑坡、泥石流、海啸、火灾、山洪等突发事件，宜根据具体情况分专业分项目进行专项分析。</w:t>
      </w:r>
    </w:p>
    <w:p>
      <w:pPr>
        <w:pStyle w:val="4"/>
      </w:pPr>
      <w:r>
        <w:rPr>
          <w:rFonts w:hint="eastAsia"/>
        </w:rPr>
        <w:t>监测系统</w:t>
      </w:r>
      <w:r>
        <w:t>报警应</w:t>
      </w:r>
      <w:r>
        <w:rPr>
          <w:rFonts w:hint="eastAsia"/>
        </w:rPr>
        <w:t>符合</w:t>
      </w:r>
      <w:r>
        <w:t>下列</w:t>
      </w:r>
      <w:r>
        <w:rPr>
          <w:rFonts w:hint="eastAsia"/>
        </w:rPr>
        <w:t>要求：</w:t>
      </w:r>
    </w:p>
    <w:p>
      <w:pPr>
        <w:ind w:firstLine="480"/>
      </w:pPr>
      <w:r>
        <w:t>1 桥梁日常运营过程中出现影响桥梁结构安全、行车安全的状况时，应</w:t>
      </w:r>
      <w:r>
        <w:rPr>
          <w:rFonts w:hint="eastAsia"/>
        </w:rPr>
        <w:t>及时</w:t>
      </w:r>
      <w:r>
        <w:t>报警</w:t>
      </w:r>
      <w:r>
        <w:rPr>
          <w:rFonts w:hint="eastAsia"/>
        </w:rPr>
        <w:t>。</w:t>
      </w:r>
    </w:p>
    <w:p>
      <w:pPr>
        <w:ind w:firstLine="480"/>
      </w:pPr>
      <w:r>
        <w:t>2 桥梁遭受地震、船撞</w:t>
      </w:r>
      <w:r>
        <w:rPr>
          <w:rFonts w:hint="eastAsia"/>
        </w:rPr>
        <w:t>、</w:t>
      </w:r>
      <w:r>
        <w:t>车撞、台风、风致异常振动等突发事件时，应</w:t>
      </w:r>
      <w:r>
        <w:rPr>
          <w:rFonts w:hint="eastAsia"/>
        </w:rPr>
        <w:t>及时</w:t>
      </w:r>
      <w:r>
        <w:t>报警。</w:t>
      </w:r>
    </w:p>
    <w:p>
      <w:pPr>
        <w:ind w:firstLine="480"/>
      </w:pPr>
      <w:r>
        <w:t xml:space="preserve">3 </w:t>
      </w:r>
      <w:r>
        <w:rPr>
          <w:rFonts w:hint="eastAsia"/>
        </w:rPr>
        <w:t>应</w:t>
      </w:r>
      <w:r>
        <w:t>排除监测系统自身故障引起的数据错误</w:t>
      </w:r>
      <w:r>
        <w:rPr>
          <w:rFonts w:hint="eastAsia"/>
        </w:rPr>
        <w:t>后基于</w:t>
      </w:r>
      <w:r>
        <w:t>真实监测数据报警</w:t>
      </w:r>
      <w:r>
        <w:rPr>
          <w:rFonts w:hint="eastAsia"/>
        </w:rPr>
        <w:t>。</w:t>
      </w:r>
    </w:p>
    <w:p>
      <w:pPr>
        <w:pStyle w:val="4"/>
      </w:pPr>
      <w:r>
        <w:t>报警应分为</w:t>
      </w:r>
      <w:r>
        <w:rPr>
          <w:rFonts w:hint="eastAsia"/>
        </w:rPr>
        <w:t>超限一级</w:t>
      </w:r>
      <w:r>
        <w:t>、</w:t>
      </w:r>
      <w:r>
        <w:rPr>
          <w:rFonts w:hint="eastAsia"/>
        </w:rPr>
        <w:t>超限二级</w:t>
      </w:r>
      <w:r>
        <w:t>和</w:t>
      </w:r>
      <w:r>
        <w:rPr>
          <w:rFonts w:hint="eastAsia"/>
        </w:rPr>
        <w:t>超限三级</w:t>
      </w:r>
      <w:r>
        <w:t>，应符合下列要求：</w:t>
      </w:r>
    </w:p>
    <w:p>
      <w:pPr>
        <w:ind w:firstLine="480"/>
      </w:pPr>
      <w:r>
        <w:t>1 当监测数据接近或超过桥梁正常使用条件界限值，但不会对桥梁安全、正常使用和行车安全产生影响时，进行</w:t>
      </w:r>
      <w:r>
        <w:rPr>
          <w:rFonts w:hint="eastAsia"/>
        </w:rPr>
        <w:t>超限一级报警</w:t>
      </w:r>
      <w:r>
        <w:t>。</w:t>
      </w:r>
      <w:r>
        <w:rPr>
          <w:rFonts w:hint="eastAsia"/>
        </w:rPr>
        <w:t>超限一级报警</w:t>
      </w:r>
      <w:r>
        <w:t>阈值可根据养护管理规定和需求、桥梁结构特点、行车舒适度等因素确定阈值</w:t>
      </w:r>
      <w:r>
        <w:rPr>
          <w:rFonts w:hint="eastAsia"/>
        </w:rPr>
        <w:t>。</w:t>
      </w:r>
    </w:p>
    <w:p>
      <w:pPr>
        <w:ind w:firstLine="480"/>
      </w:pPr>
      <w:r>
        <w:t>2 当监测数据超过桥梁正常使用条件界限值且可能对桥梁安全、正常使用和行车安全产生显著影响时，进行</w:t>
      </w:r>
      <w:r>
        <w:rPr>
          <w:rFonts w:hint="eastAsia"/>
        </w:rPr>
        <w:t>超限二级报警。</w:t>
      </w:r>
    </w:p>
    <w:p>
      <w:pPr>
        <w:ind w:firstLine="480"/>
      </w:pPr>
      <w:r>
        <w:t>3 当监测数据接近桥梁结构安全界限值或者严重影响桥梁安全、正常使用和行车安全时，进行</w:t>
      </w:r>
      <w:r>
        <w:rPr>
          <w:rFonts w:hint="eastAsia"/>
        </w:rPr>
        <w:t>超限三级报警。</w:t>
      </w:r>
    </w:p>
    <w:p>
      <w:pPr>
        <w:ind w:firstLine="480"/>
      </w:pPr>
      <w:r>
        <w:t>4 各监测项目应根据重要程度确定报警级别、采取适当的报警响应措施。</w:t>
      </w:r>
    </w:p>
    <w:p>
      <w:pPr>
        <w:pStyle w:val="4"/>
      </w:pPr>
      <w:r>
        <w:t>报警阈值的确定应符合下列规定：</w:t>
      </w:r>
    </w:p>
    <w:p>
      <w:pPr>
        <w:ind w:firstLine="480"/>
      </w:pPr>
      <w:r>
        <w:t>1 基于监测参数历史统计值、设计值和规范容许值设定报警阈值</w:t>
      </w:r>
      <w:r>
        <w:rPr>
          <w:rFonts w:hint="eastAsia"/>
        </w:rPr>
        <w:t>。</w:t>
      </w:r>
    </w:p>
    <w:p>
      <w:pPr>
        <w:ind w:firstLine="480"/>
      </w:pPr>
      <w:r>
        <w:t>2 考虑监测数据动态特征、统计特性以及异常特征设定报警阈值</w:t>
      </w:r>
      <w:r>
        <w:rPr>
          <w:rFonts w:hint="eastAsia"/>
        </w:rPr>
        <w:t>。</w:t>
      </w:r>
    </w:p>
    <w:p>
      <w:pPr>
        <w:ind w:firstLine="480"/>
      </w:pPr>
      <w:r>
        <w:t>3 兼顾桥梁定期检查</w:t>
      </w:r>
      <w:r>
        <w:rPr>
          <w:rFonts w:hint="eastAsia"/>
        </w:rPr>
        <w:t>、</w:t>
      </w:r>
      <w:r>
        <w:t>技术状况评定结果</w:t>
      </w:r>
      <w:r>
        <w:rPr>
          <w:rFonts w:hint="eastAsia"/>
        </w:rPr>
        <w:t>和荷载试验结果</w:t>
      </w:r>
      <w:r>
        <w:t>设定报警阈值</w:t>
      </w:r>
      <w:r>
        <w:rPr>
          <w:rFonts w:hint="eastAsia"/>
        </w:rPr>
        <w:t>。</w:t>
      </w:r>
    </w:p>
    <w:p>
      <w:pPr>
        <w:ind w:firstLine="480"/>
      </w:pPr>
      <w:r>
        <w:t>4 依据桥梁使用状况和系统运行状况可对报警阈值进行动态调整</w:t>
      </w:r>
      <w:r>
        <w:rPr>
          <w:rFonts w:hint="eastAsia"/>
        </w:rPr>
        <w:t>。</w:t>
      </w:r>
    </w:p>
    <w:p>
      <w:pPr>
        <w:pStyle w:val="4"/>
      </w:pPr>
      <w:r>
        <w:rPr>
          <w:rFonts w:hint="eastAsia"/>
        </w:rPr>
        <w:t>在监测系统设计过程中或监测系统运行之初，可参照表4.3.2</w:t>
      </w:r>
      <w:r>
        <w:t>5</w:t>
      </w:r>
      <w:r>
        <w:rPr>
          <w:rFonts w:hint="eastAsia"/>
        </w:rPr>
        <w:t>设置报警阈值初值。</w:t>
      </w:r>
    </w:p>
    <w:tbl>
      <w:tblPr>
        <w:tblStyle w:val="23"/>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388"/>
        <w:gridCol w:w="2347"/>
        <w:gridCol w:w="967"/>
        <w:gridCol w:w="689"/>
        <w:gridCol w:w="689"/>
        <w:gridCol w:w="689"/>
        <w:gridCol w:w="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blHeader/>
          <w:jc w:val="center"/>
        </w:trPr>
        <w:tc>
          <w:tcPr>
            <w:tcW w:w="8306" w:type="dxa"/>
            <w:gridSpan w:val="8"/>
            <w:tcBorders>
              <w:top w:val="nil"/>
              <w:left w:val="nil"/>
              <w:bottom w:val="single" w:color="auto" w:sz="4" w:space="0"/>
              <w:right w:val="nil"/>
            </w:tcBorders>
            <w:shd w:val="clear" w:color="auto" w:fill="auto"/>
            <w:vAlign w:val="center"/>
          </w:tcPr>
          <w:p>
            <w:pPr>
              <w:pStyle w:val="38"/>
            </w:pPr>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t>4.3.25</w:t>
            </w:r>
            <w:r>
              <w:fldChar w:fldCharType="end"/>
            </w:r>
            <w:r>
              <w:t xml:space="preserve"> </w:t>
            </w:r>
            <w:r>
              <w:rPr>
                <w:rFonts w:hint="eastAsia"/>
              </w:rPr>
              <w:t>报警阈值设定用表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blHeader/>
          <w:jc w:val="center"/>
        </w:trPr>
        <w:tc>
          <w:tcPr>
            <w:tcW w:w="803" w:type="dxa"/>
            <w:vMerge w:val="restart"/>
            <w:tcBorders>
              <w:top w:val="single" w:color="auto" w:sz="4" w:space="0"/>
            </w:tcBorders>
            <w:shd w:val="clear" w:color="auto" w:fill="auto"/>
            <w:vAlign w:val="center"/>
          </w:tcPr>
          <w:p>
            <w:pPr>
              <w:spacing w:line="240" w:lineRule="auto"/>
              <w:ind w:firstLine="0" w:firstLineChars="0"/>
              <w:jc w:val="center"/>
              <w:rPr>
                <w:rFonts w:cs="Times New Roman"/>
                <w:b/>
                <w:sz w:val="21"/>
                <w:szCs w:val="21"/>
              </w:rPr>
            </w:pPr>
            <w:r>
              <w:rPr>
                <w:rFonts w:hint="eastAsia" w:cs="Times New Roman"/>
                <w:b/>
                <w:sz w:val="21"/>
                <w:szCs w:val="21"/>
              </w:rPr>
              <w:t>报警类别</w:t>
            </w:r>
          </w:p>
        </w:tc>
        <w:tc>
          <w:tcPr>
            <w:tcW w:w="1388" w:type="dxa"/>
            <w:vMerge w:val="restart"/>
            <w:tcBorders>
              <w:top w:val="single" w:color="auto" w:sz="4" w:space="0"/>
            </w:tcBorders>
            <w:vAlign w:val="center"/>
          </w:tcPr>
          <w:p>
            <w:pPr>
              <w:spacing w:line="240" w:lineRule="auto"/>
              <w:ind w:firstLine="0" w:firstLineChars="0"/>
              <w:jc w:val="center"/>
              <w:rPr>
                <w:rFonts w:cs="Times New Roman"/>
                <w:b/>
                <w:sz w:val="21"/>
                <w:szCs w:val="21"/>
              </w:rPr>
            </w:pPr>
            <w:r>
              <w:rPr>
                <w:rFonts w:hint="eastAsia" w:cs="Times New Roman"/>
                <w:b/>
                <w:sz w:val="21"/>
                <w:szCs w:val="21"/>
              </w:rPr>
              <w:t>报警内容</w:t>
            </w:r>
          </w:p>
        </w:tc>
        <w:tc>
          <w:tcPr>
            <w:tcW w:w="2347" w:type="dxa"/>
            <w:vMerge w:val="restart"/>
            <w:tcBorders>
              <w:top w:val="single" w:color="auto" w:sz="4" w:space="0"/>
            </w:tcBorders>
            <w:vAlign w:val="center"/>
          </w:tcPr>
          <w:p>
            <w:pPr>
              <w:spacing w:line="240" w:lineRule="auto"/>
              <w:ind w:firstLine="0" w:firstLineChars="0"/>
              <w:jc w:val="center"/>
              <w:rPr>
                <w:rFonts w:cs="Times New Roman"/>
                <w:b/>
                <w:sz w:val="21"/>
                <w:szCs w:val="21"/>
              </w:rPr>
            </w:pPr>
            <w:r>
              <w:rPr>
                <w:rFonts w:hint="eastAsia" w:cs="Times New Roman"/>
                <w:b/>
                <w:sz w:val="21"/>
                <w:szCs w:val="21"/>
              </w:rPr>
              <w:t>超限阈值</w:t>
            </w:r>
          </w:p>
        </w:tc>
        <w:tc>
          <w:tcPr>
            <w:tcW w:w="967" w:type="dxa"/>
            <w:vMerge w:val="restart"/>
            <w:tcBorders>
              <w:top w:val="single" w:color="auto" w:sz="4" w:space="0"/>
            </w:tcBorders>
            <w:vAlign w:val="center"/>
          </w:tcPr>
          <w:p>
            <w:pPr>
              <w:spacing w:line="240" w:lineRule="auto"/>
              <w:ind w:firstLine="0" w:firstLineChars="0"/>
              <w:jc w:val="center"/>
              <w:rPr>
                <w:rFonts w:cs="Times New Roman"/>
                <w:b/>
                <w:sz w:val="21"/>
                <w:szCs w:val="21"/>
              </w:rPr>
            </w:pPr>
            <w:r>
              <w:rPr>
                <w:rFonts w:hint="eastAsia" w:cs="Times New Roman"/>
                <w:b/>
                <w:sz w:val="21"/>
                <w:szCs w:val="21"/>
              </w:rPr>
              <w:t>报警级别</w:t>
            </w:r>
          </w:p>
        </w:tc>
        <w:tc>
          <w:tcPr>
            <w:tcW w:w="2801" w:type="dxa"/>
            <w:gridSpan w:val="4"/>
            <w:tcBorders>
              <w:top w:val="single" w:color="auto" w:sz="4" w:space="0"/>
            </w:tcBorders>
            <w:shd w:val="clear" w:color="auto" w:fill="auto"/>
            <w:vAlign w:val="center"/>
          </w:tcPr>
          <w:p>
            <w:pPr>
              <w:widowControl/>
              <w:spacing w:line="240" w:lineRule="auto"/>
              <w:ind w:firstLine="0" w:firstLineChars="0"/>
              <w:jc w:val="center"/>
              <w:rPr>
                <w:rFonts w:cs="Times New Roman"/>
                <w:b/>
                <w:sz w:val="21"/>
                <w:szCs w:val="21"/>
              </w:rPr>
            </w:pPr>
            <w:r>
              <w:rPr>
                <w:rFonts w:cs="Times New Roman"/>
                <w:b/>
                <w:sz w:val="21"/>
                <w:szCs w:val="21"/>
              </w:rPr>
              <w:t>桥型</w:t>
            </w:r>
            <w:r>
              <w:rPr>
                <w:rFonts w:hint="eastAsia" w:cs="Times New Roman"/>
                <w:b/>
                <w:sz w:val="21"/>
                <w:szCs w:val="21"/>
              </w:rPr>
              <w:t>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blHeader/>
          <w:jc w:val="center"/>
        </w:trPr>
        <w:tc>
          <w:tcPr>
            <w:tcW w:w="803" w:type="dxa"/>
            <w:vMerge w:val="continue"/>
            <w:shd w:val="clear" w:color="auto" w:fill="auto"/>
            <w:vAlign w:val="center"/>
          </w:tcPr>
          <w:p>
            <w:pPr>
              <w:widowControl/>
              <w:spacing w:line="240" w:lineRule="auto"/>
              <w:ind w:firstLine="0" w:firstLineChars="0"/>
              <w:jc w:val="center"/>
              <w:rPr>
                <w:rFonts w:cs="Times New Roman"/>
                <w:b/>
                <w:sz w:val="21"/>
                <w:szCs w:val="21"/>
              </w:rPr>
            </w:pPr>
          </w:p>
        </w:tc>
        <w:tc>
          <w:tcPr>
            <w:tcW w:w="1388" w:type="dxa"/>
            <w:vMerge w:val="continue"/>
            <w:vAlign w:val="center"/>
          </w:tcPr>
          <w:p>
            <w:pPr>
              <w:widowControl/>
              <w:spacing w:line="240" w:lineRule="auto"/>
              <w:ind w:firstLine="0" w:firstLineChars="0"/>
              <w:jc w:val="center"/>
              <w:rPr>
                <w:rFonts w:cs="Times New Roman"/>
                <w:b/>
                <w:sz w:val="21"/>
                <w:szCs w:val="21"/>
              </w:rPr>
            </w:pPr>
          </w:p>
        </w:tc>
        <w:tc>
          <w:tcPr>
            <w:tcW w:w="2347" w:type="dxa"/>
            <w:vMerge w:val="continue"/>
            <w:vAlign w:val="center"/>
          </w:tcPr>
          <w:p>
            <w:pPr>
              <w:widowControl/>
              <w:spacing w:line="240" w:lineRule="auto"/>
              <w:ind w:firstLine="0" w:firstLineChars="0"/>
              <w:jc w:val="center"/>
              <w:rPr>
                <w:rFonts w:cs="Times New Roman"/>
                <w:b/>
                <w:sz w:val="21"/>
                <w:szCs w:val="21"/>
              </w:rPr>
            </w:pPr>
          </w:p>
        </w:tc>
        <w:tc>
          <w:tcPr>
            <w:tcW w:w="967" w:type="dxa"/>
            <w:vMerge w:val="continue"/>
            <w:vAlign w:val="center"/>
          </w:tcPr>
          <w:p>
            <w:pPr>
              <w:widowControl/>
              <w:spacing w:line="240" w:lineRule="auto"/>
              <w:ind w:firstLine="0" w:firstLineChars="0"/>
              <w:jc w:val="center"/>
              <w:rPr>
                <w:rFonts w:cs="Times New Roman"/>
                <w:b/>
                <w:sz w:val="21"/>
                <w:szCs w:val="21"/>
              </w:rPr>
            </w:pPr>
          </w:p>
        </w:tc>
        <w:tc>
          <w:tcPr>
            <w:tcW w:w="689" w:type="dxa"/>
            <w:shd w:val="clear" w:color="auto" w:fill="auto"/>
            <w:vAlign w:val="center"/>
          </w:tcPr>
          <w:p>
            <w:pPr>
              <w:widowControl/>
              <w:spacing w:line="240" w:lineRule="auto"/>
              <w:ind w:firstLine="0" w:firstLineChars="0"/>
              <w:jc w:val="center"/>
              <w:rPr>
                <w:rFonts w:cs="Times New Roman"/>
                <w:b/>
                <w:sz w:val="21"/>
                <w:szCs w:val="21"/>
              </w:rPr>
            </w:pPr>
            <w:r>
              <w:rPr>
                <w:rFonts w:hint="eastAsia" w:cs="Times New Roman"/>
                <w:b/>
                <w:sz w:val="21"/>
                <w:szCs w:val="21"/>
              </w:rPr>
              <w:t>悬索桥</w:t>
            </w:r>
          </w:p>
        </w:tc>
        <w:tc>
          <w:tcPr>
            <w:tcW w:w="689" w:type="dxa"/>
            <w:shd w:val="clear" w:color="auto" w:fill="auto"/>
            <w:vAlign w:val="center"/>
          </w:tcPr>
          <w:p>
            <w:pPr>
              <w:widowControl/>
              <w:spacing w:line="240" w:lineRule="auto"/>
              <w:ind w:firstLine="0" w:firstLineChars="0"/>
              <w:jc w:val="center"/>
              <w:rPr>
                <w:rFonts w:cs="Times New Roman"/>
                <w:b/>
                <w:sz w:val="21"/>
                <w:szCs w:val="21"/>
              </w:rPr>
            </w:pPr>
            <w:r>
              <w:rPr>
                <w:rFonts w:hint="eastAsia" w:cs="Times New Roman"/>
                <w:b/>
                <w:sz w:val="21"/>
                <w:szCs w:val="21"/>
              </w:rPr>
              <w:t>斜拉桥</w:t>
            </w:r>
          </w:p>
        </w:tc>
        <w:tc>
          <w:tcPr>
            <w:tcW w:w="689" w:type="dxa"/>
            <w:shd w:val="clear" w:color="auto" w:fill="auto"/>
            <w:vAlign w:val="center"/>
          </w:tcPr>
          <w:p>
            <w:pPr>
              <w:widowControl/>
              <w:spacing w:line="240" w:lineRule="auto"/>
              <w:ind w:firstLine="0" w:firstLineChars="0"/>
              <w:jc w:val="center"/>
              <w:rPr>
                <w:rFonts w:cs="Times New Roman"/>
                <w:b/>
                <w:sz w:val="21"/>
                <w:szCs w:val="21"/>
              </w:rPr>
            </w:pPr>
            <w:r>
              <w:rPr>
                <w:rFonts w:hint="eastAsia" w:cs="Times New Roman"/>
                <w:b/>
                <w:sz w:val="21"/>
                <w:szCs w:val="21"/>
              </w:rPr>
              <w:t>梁</w:t>
            </w:r>
            <w:r>
              <w:rPr>
                <w:rFonts w:cs="Times New Roman"/>
                <w:b/>
                <w:sz w:val="21"/>
                <w:szCs w:val="21"/>
              </w:rPr>
              <w:t>桥</w:t>
            </w:r>
          </w:p>
        </w:tc>
        <w:tc>
          <w:tcPr>
            <w:tcW w:w="734" w:type="dxa"/>
            <w:shd w:val="clear" w:color="auto" w:fill="auto"/>
            <w:vAlign w:val="center"/>
          </w:tcPr>
          <w:p>
            <w:pPr>
              <w:widowControl/>
              <w:spacing w:line="240" w:lineRule="auto"/>
              <w:ind w:firstLine="0" w:firstLineChars="0"/>
              <w:jc w:val="center"/>
              <w:rPr>
                <w:rFonts w:cs="Times New Roman"/>
                <w:b/>
                <w:sz w:val="21"/>
                <w:szCs w:val="21"/>
              </w:rPr>
            </w:pPr>
            <w:r>
              <w:rPr>
                <w:rFonts w:hint="eastAsia" w:cs="Times New Roman"/>
                <w:b/>
                <w:sz w:val="21"/>
                <w:szCs w:val="21"/>
              </w:rPr>
              <w:t>拱</w:t>
            </w:r>
            <w:r>
              <w:rPr>
                <w:rFonts w:cs="Times New Roman"/>
                <w:b/>
                <w:sz w:val="21"/>
                <w:szCs w:val="21"/>
              </w:rPr>
              <w:t>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restart"/>
            <w:shd w:val="clear" w:color="auto" w:fill="auto"/>
            <w:vAlign w:val="center"/>
          </w:tcPr>
          <w:p>
            <w:pPr>
              <w:widowControl/>
              <w:spacing w:line="240" w:lineRule="auto"/>
              <w:ind w:firstLine="0" w:firstLineChars="0"/>
              <w:jc w:val="center"/>
              <w:rPr>
                <w:rFonts w:cs="Times New Roman"/>
                <w:sz w:val="21"/>
                <w:szCs w:val="21"/>
              </w:rPr>
            </w:pPr>
            <w:r>
              <w:rPr>
                <w:rFonts w:hint="eastAsia" w:cs="Times New Roman"/>
                <w:sz w:val="21"/>
                <w:szCs w:val="21"/>
              </w:rPr>
              <w:t>环境</w:t>
            </w:r>
          </w:p>
        </w:tc>
        <w:tc>
          <w:tcPr>
            <w:tcW w:w="1388" w:type="dxa"/>
            <w:vMerge w:val="restart"/>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最高温度、最低温度、最大温差</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达到</w:t>
            </w:r>
            <w:r>
              <w:rPr>
                <w:rFonts w:cs="Times New Roman"/>
                <w:sz w:val="21"/>
                <w:szCs w:val="21"/>
              </w:rPr>
              <w:t>1.0</w:t>
            </w:r>
            <w:r>
              <w:rPr>
                <w:rFonts w:hint="eastAsia" w:cs="Times New Roman"/>
                <w:sz w:val="21"/>
                <w:szCs w:val="21"/>
              </w:rPr>
              <w:t>倍设计值</w:t>
            </w:r>
          </w:p>
        </w:tc>
        <w:tc>
          <w:tcPr>
            <w:tcW w:w="96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一级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widowControl/>
              <w:spacing w:line="240" w:lineRule="auto"/>
              <w:ind w:firstLine="0" w:firstLineChars="0"/>
              <w:jc w:val="center"/>
              <w:rPr>
                <w:rFonts w:cs="Times New Roman"/>
                <w:sz w:val="21"/>
                <w:szCs w:val="21"/>
              </w:rPr>
            </w:pP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达到</w:t>
            </w:r>
            <w:r>
              <w:rPr>
                <w:rFonts w:cs="Times New Roman"/>
                <w:sz w:val="21"/>
                <w:szCs w:val="21"/>
              </w:rPr>
              <w:t>1.2</w:t>
            </w:r>
            <w:r>
              <w:rPr>
                <w:rFonts w:hint="eastAsia" w:cs="Times New Roman"/>
                <w:sz w:val="21"/>
                <w:szCs w:val="21"/>
              </w:rPr>
              <w:t>倍设计值</w:t>
            </w:r>
          </w:p>
        </w:tc>
        <w:tc>
          <w:tcPr>
            <w:tcW w:w="96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二级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构件封闭空间内相对湿度</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达到</w:t>
            </w:r>
            <w:r>
              <w:rPr>
                <w:rFonts w:cs="Times New Roman"/>
                <w:sz w:val="21"/>
                <w:szCs w:val="21"/>
              </w:rPr>
              <w:t xml:space="preserve">50% </w:t>
            </w:r>
          </w:p>
        </w:tc>
        <w:tc>
          <w:tcPr>
            <w:tcW w:w="96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一级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结冰</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出现结冰</w:t>
            </w:r>
          </w:p>
        </w:tc>
        <w:tc>
          <w:tcPr>
            <w:tcW w:w="96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一级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雨量</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12 h 内降雨量超过50 mm 或12 h 内降雪量超过4 mm 以上</w:t>
            </w:r>
          </w:p>
        </w:tc>
        <w:tc>
          <w:tcPr>
            <w:tcW w:w="96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一级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restart"/>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雾</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大雾能见度小于200 m，但大于或等于50m</w:t>
            </w:r>
          </w:p>
        </w:tc>
        <w:tc>
          <w:tcPr>
            <w:tcW w:w="96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一级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autoSpaceDE w:val="0"/>
              <w:autoSpaceDN w:val="0"/>
              <w:adjustRightInd w:val="0"/>
              <w:spacing w:line="240" w:lineRule="auto"/>
              <w:ind w:firstLine="0" w:firstLineChars="0"/>
              <w:jc w:val="center"/>
              <w:rPr>
                <w:rFonts w:cs="Times New Roman"/>
                <w:sz w:val="21"/>
                <w:szCs w:val="21"/>
              </w:rPr>
            </w:pP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大雾能见度小于50 m</w:t>
            </w:r>
          </w:p>
        </w:tc>
        <w:tc>
          <w:tcPr>
            <w:tcW w:w="96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二级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restart"/>
            <w:shd w:val="clear" w:color="auto" w:fill="auto"/>
            <w:vAlign w:val="center"/>
          </w:tcPr>
          <w:p>
            <w:pPr>
              <w:widowControl/>
              <w:spacing w:line="240" w:lineRule="auto"/>
              <w:ind w:firstLine="0" w:firstLineChars="0"/>
              <w:jc w:val="center"/>
              <w:rPr>
                <w:rFonts w:cs="Times New Roman"/>
                <w:sz w:val="21"/>
                <w:szCs w:val="21"/>
              </w:rPr>
            </w:pPr>
            <w:r>
              <w:rPr>
                <w:rFonts w:hint="eastAsia" w:cs="Times New Roman"/>
                <w:sz w:val="21"/>
                <w:szCs w:val="21"/>
              </w:rPr>
              <w:t>作用</w:t>
            </w:r>
          </w:p>
        </w:tc>
        <w:tc>
          <w:tcPr>
            <w:tcW w:w="1388" w:type="dxa"/>
            <w:vMerge w:val="restart"/>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车辆总重或轴重</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达到</w:t>
            </w:r>
            <w:r>
              <w:rPr>
                <w:rFonts w:cs="Times New Roman"/>
                <w:sz w:val="21"/>
                <w:szCs w:val="21"/>
              </w:rPr>
              <w:t>1.5</w:t>
            </w:r>
            <w:r>
              <w:rPr>
                <w:rFonts w:hint="eastAsia" w:cs="Times New Roman"/>
                <w:sz w:val="21"/>
                <w:szCs w:val="21"/>
              </w:rPr>
              <w:t>倍设计车辆荷载</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一级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widowControl/>
              <w:spacing w:line="240" w:lineRule="auto"/>
              <w:ind w:firstLine="0" w:firstLineChars="0"/>
              <w:jc w:val="center"/>
              <w:rPr>
                <w:rFonts w:cs="Times New Roman"/>
                <w:sz w:val="21"/>
                <w:szCs w:val="21"/>
              </w:rPr>
            </w:pP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达到</w:t>
            </w:r>
            <w:r>
              <w:rPr>
                <w:rFonts w:cs="Times New Roman"/>
                <w:sz w:val="21"/>
                <w:szCs w:val="21"/>
              </w:rPr>
              <w:t>2.0</w:t>
            </w:r>
            <w:r>
              <w:rPr>
                <w:rFonts w:hint="eastAsia" w:cs="Times New Roman"/>
                <w:sz w:val="21"/>
                <w:szCs w:val="21"/>
              </w:rPr>
              <w:t>倍设计车辆荷载</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人群荷载</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达到设计人群荷载</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一级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restart"/>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风速、风向</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桥面</w:t>
            </w:r>
            <w:r>
              <w:rPr>
                <w:rFonts w:cs="Times New Roman"/>
                <w:sz w:val="21"/>
                <w:szCs w:val="21"/>
              </w:rPr>
              <w:t>10</w:t>
            </w:r>
            <w:r>
              <w:rPr>
                <w:rFonts w:hint="eastAsia" w:cs="Times New Roman"/>
                <w:sz w:val="21"/>
                <w:szCs w:val="21"/>
              </w:rPr>
              <w:t>分钟平均风速达到</w:t>
            </w:r>
            <w:r>
              <w:rPr>
                <w:rFonts w:cs="Times New Roman"/>
                <w:sz w:val="21"/>
                <w:szCs w:val="21"/>
              </w:rPr>
              <w:t xml:space="preserve">25m/s </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一级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widowControl/>
              <w:spacing w:line="240" w:lineRule="auto"/>
              <w:ind w:firstLine="0" w:firstLineChars="0"/>
              <w:jc w:val="center"/>
              <w:rPr>
                <w:rFonts w:cs="Times New Roman"/>
                <w:sz w:val="21"/>
                <w:szCs w:val="21"/>
              </w:rPr>
            </w:pP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桥面</w:t>
            </w:r>
            <w:r>
              <w:rPr>
                <w:rFonts w:cs="Times New Roman"/>
                <w:sz w:val="21"/>
                <w:szCs w:val="21"/>
              </w:rPr>
              <w:t>10</w:t>
            </w:r>
            <w:r>
              <w:rPr>
                <w:rFonts w:hint="eastAsia" w:cs="Times New Roman"/>
                <w:sz w:val="21"/>
                <w:szCs w:val="21"/>
              </w:rPr>
              <w:t>分钟平均风速达到</w:t>
            </w:r>
            <w:r>
              <w:rPr>
                <w:rFonts w:cs="Times New Roman"/>
                <w:sz w:val="21"/>
                <w:szCs w:val="21"/>
              </w:rPr>
              <w:t>0.8</w:t>
            </w:r>
            <w:r>
              <w:rPr>
                <w:rFonts w:hint="eastAsia" w:cs="Times New Roman"/>
                <w:sz w:val="21"/>
                <w:szCs w:val="21"/>
              </w:rPr>
              <w:t>倍桥面设计基准风速</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widowControl/>
              <w:spacing w:line="240" w:lineRule="auto"/>
              <w:ind w:firstLine="0" w:firstLineChars="0"/>
              <w:jc w:val="center"/>
              <w:rPr>
                <w:rFonts w:cs="Times New Roman"/>
                <w:sz w:val="21"/>
                <w:szCs w:val="21"/>
              </w:rPr>
            </w:pP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桥面</w:t>
            </w:r>
            <w:r>
              <w:rPr>
                <w:rFonts w:cs="Times New Roman"/>
                <w:sz w:val="21"/>
                <w:szCs w:val="21"/>
              </w:rPr>
              <w:t>10</w:t>
            </w:r>
            <w:r>
              <w:rPr>
                <w:rFonts w:hint="eastAsia" w:cs="Times New Roman"/>
                <w:sz w:val="21"/>
                <w:szCs w:val="21"/>
              </w:rPr>
              <w:t>分钟平均风速达到桥面设计风速</w:t>
            </w:r>
          </w:p>
        </w:tc>
        <w:tc>
          <w:tcPr>
            <w:tcW w:w="96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三级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混凝土、钢结构构件温度</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达到设计值</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一级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船舶撞击</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发生船撞事件</w:t>
            </w:r>
          </w:p>
        </w:tc>
        <w:tc>
          <w:tcPr>
            <w:tcW w:w="96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宋体"/>
                <w:sz w:val="21"/>
                <w:szCs w:val="21"/>
              </w:rPr>
              <w:t>二级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车辆撞击</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发生车撞事件</w:t>
            </w:r>
          </w:p>
        </w:tc>
        <w:tc>
          <w:tcPr>
            <w:tcW w:w="967" w:type="dxa"/>
            <w:vAlign w:val="center"/>
          </w:tcPr>
          <w:p>
            <w:pPr>
              <w:autoSpaceDE w:val="0"/>
              <w:autoSpaceDN w:val="0"/>
              <w:adjustRightInd w:val="0"/>
              <w:spacing w:line="240" w:lineRule="auto"/>
              <w:ind w:firstLine="0" w:firstLineChars="0"/>
              <w:jc w:val="center"/>
              <w:rPr>
                <w:rFonts w:cs="宋体"/>
                <w:sz w:val="21"/>
                <w:szCs w:val="21"/>
              </w:rPr>
            </w:pPr>
            <w:r>
              <w:rPr>
                <w:rFonts w:hint="eastAsia" w:cs="宋体"/>
                <w:sz w:val="21"/>
                <w:szCs w:val="21"/>
              </w:rPr>
              <w:t>二级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restart"/>
            <w:vAlign w:val="center"/>
          </w:tcPr>
          <w:p>
            <w:pPr>
              <w:widowControl/>
              <w:spacing w:line="240" w:lineRule="auto"/>
              <w:ind w:firstLine="0" w:firstLineChars="0"/>
              <w:jc w:val="center"/>
              <w:rPr>
                <w:rFonts w:cs="Times New Roman"/>
                <w:sz w:val="21"/>
                <w:szCs w:val="21"/>
              </w:rPr>
            </w:pPr>
            <w:r>
              <w:rPr>
                <w:rFonts w:hint="eastAsia" w:cs="Times New Roman"/>
                <w:sz w:val="21"/>
                <w:szCs w:val="21"/>
              </w:rPr>
              <w:t>桥岸地表场地地震动加速度</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达到设计E1地震作用加速度峰值</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widowControl/>
              <w:spacing w:line="240" w:lineRule="auto"/>
              <w:ind w:firstLine="0" w:firstLineChars="0"/>
              <w:jc w:val="center"/>
              <w:rPr>
                <w:rFonts w:cs="Times New Roman"/>
                <w:sz w:val="21"/>
                <w:szCs w:val="21"/>
              </w:rPr>
            </w:pP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达到设计E2地震作用加速度峰值</w:t>
            </w:r>
          </w:p>
        </w:tc>
        <w:tc>
          <w:tcPr>
            <w:tcW w:w="96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三级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restart"/>
            <w:shd w:val="clear" w:color="auto" w:fill="auto"/>
            <w:vAlign w:val="center"/>
          </w:tcPr>
          <w:p>
            <w:pPr>
              <w:widowControl/>
              <w:spacing w:line="240" w:lineRule="auto"/>
              <w:ind w:firstLine="0" w:firstLineChars="0"/>
              <w:jc w:val="center"/>
              <w:rPr>
                <w:rFonts w:cs="Times New Roman"/>
                <w:sz w:val="21"/>
                <w:szCs w:val="21"/>
              </w:rPr>
            </w:pPr>
            <w:r>
              <w:rPr>
                <w:rFonts w:hint="eastAsia" w:cs="Times New Roman"/>
                <w:sz w:val="21"/>
                <w:szCs w:val="21"/>
              </w:rPr>
              <w:t>结构响应</w:t>
            </w:r>
          </w:p>
        </w:tc>
        <w:tc>
          <w:tcPr>
            <w:tcW w:w="1388" w:type="dxa"/>
            <w:vMerge w:val="restart"/>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主梁振动加速度</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10min加速度均方根达到31.5cm/s</w:t>
            </w:r>
            <w:r>
              <w:rPr>
                <w:rFonts w:hint="eastAsia" w:cs="Times New Roman"/>
                <w:sz w:val="21"/>
                <w:szCs w:val="21"/>
                <w:vertAlign w:val="superscript"/>
              </w:rPr>
              <w:t>2</w:t>
            </w:r>
            <w:r>
              <w:rPr>
                <w:rFonts w:hint="eastAsia" w:cs="Times New Roman"/>
                <w:sz w:val="21"/>
                <w:szCs w:val="21"/>
              </w:rPr>
              <w:t>且持续时间超过30min</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一级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widowControl/>
              <w:spacing w:line="240" w:lineRule="auto"/>
              <w:ind w:firstLine="0" w:firstLineChars="0"/>
              <w:jc w:val="center"/>
              <w:rPr>
                <w:rFonts w:cs="Times New Roman"/>
                <w:sz w:val="21"/>
                <w:szCs w:val="21"/>
              </w:rPr>
            </w:pP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10min加速度均方根达到31.5cm/s</w:t>
            </w:r>
            <w:r>
              <w:rPr>
                <w:rFonts w:hint="eastAsia" w:cs="Times New Roman"/>
                <w:sz w:val="21"/>
                <w:szCs w:val="21"/>
                <w:vertAlign w:val="superscript"/>
              </w:rPr>
              <w:t>2</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widowControl/>
              <w:spacing w:line="240" w:lineRule="auto"/>
              <w:ind w:firstLine="0" w:firstLineChars="0"/>
              <w:jc w:val="center"/>
              <w:rPr>
                <w:rFonts w:cs="Times New Roman"/>
                <w:sz w:val="21"/>
                <w:szCs w:val="21"/>
              </w:rPr>
            </w:pPr>
          </w:p>
        </w:tc>
        <w:tc>
          <w:tcPr>
            <w:tcW w:w="2347" w:type="dxa"/>
            <w:vAlign w:val="center"/>
          </w:tcPr>
          <w:p>
            <w:pPr>
              <w:autoSpaceDE w:val="0"/>
              <w:autoSpaceDN w:val="0"/>
              <w:adjustRightInd w:val="0"/>
              <w:spacing w:line="240" w:lineRule="auto"/>
              <w:ind w:firstLine="0" w:firstLineChars="0"/>
              <w:rPr>
                <w:rFonts w:cs="Times New Roman"/>
                <w:sz w:val="21"/>
                <w:szCs w:val="21"/>
              </w:rPr>
            </w:pPr>
            <w:r>
              <w:rPr>
                <w:rFonts w:hint="eastAsia" w:cs="Times New Roman"/>
                <w:sz w:val="21"/>
                <w:szCs w:val="21"/>
              </w:rPr>
              <w:t>幅值持续增大、呈现发散特征</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三级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restart"/>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悬索桥吊索、斜拉桥斜拉索、拱桥吊杆（索）振动加速度</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cs="Times New Roman"/>
                <w:sz w:val="21"/>
                <w:szCs w:val="21"/>
              </w:rPr>
              <w:t>10</w:t>
            </w:r>
            <w:r>
              <w:rPr>
                <w:rFonts w:hint="eastAsia" w:cs="Times New Roman"/>
                <w:sz w:val="21"/>
                <w:szCs w:val="21"/>
              </w:rPr>
              <w:t>min加速度均方根达到</w:t>
            </w:r>
            <w:r>
              <w:rPr>
                <w:rFonts w:cs="Times New Roman"/>
                <w:sz w:val="21"/>
                <w:szCs w:val="21"/>
              </w:rPr>
              <w:t>100cm/s</w:t>
            </w:r>
            <w:r>
              <w:rPr>
                <w:rFonts w:cs="Times New Roman"/>
                <w:sz w:val="21"/>
                <w:szCs w:val="21"/>
                <w:vertAlign w:val="superscript"/>
              </w:rPr>
              <w:t>2</w:t>
            </w:r>
            <w:r>
              <w:rPr>
                <w:rFonts w:cs="Times New Roman"/>
                <w:sz w:val="21"/>
                <w:szCs w:val="21"/>
              </w:rPr>
              <w:t xml:space="preserve"> </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一级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widowControl/>
              <w:spacing w:line="240" w:lineRule="auto"/>
              <w:ind w:firstLine="0" w:firstLineChars="0"/>
              <w:jc w:val="center"/>
              <w:rPr>
                <w:rFonts w:cs="Times New Roman"/>
                <w:sz w:val="21"/>
                <w:szCs w:val="21"/>
              </w:rPr>
            </w:pP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cs="Times New Roman"/>
                <w:sz w:val="21"/>
                <w:szCs w:val="21"/>
              </w:rPr>
              <w:t>10</w:t>
            </w:r>
            <w:r>
              <w:rPr>
                <w:rFonts w:hint="eastAsia" w:cs="Times New Roman"/>
                <w:sz w:val="21"/>
                <w:szCs w:val="21"/>
              </w:rPr>
              <w:t>min加速度均方根达到</w:t>
            </w:r>
            <w:r>
              <w:rPr>
                <w:rFonts w:cs="Times New Roman"/>
                <w:sz w:val="21"/>
                <w:szCs w:val="21"/>
              </w:rPr>
              <w:t>300cm/s</w:t>
            </w:r>
            <w:r>
              <w:rPr>
                <w:rFonts w:cs="Times New Roman"/>
                <w:sz w:val="21"/>
                <w:szCs w:val="21"/>
                <w:vertAlign w:val="superscript"/>
              </w:rPr>
              <w:t>2</w:t>
            </w:r>
            <w:r>
              <w:rPr>
                <w:rFonts w:hint="eastAsia" w:cs="Times New Roman"/>
                <w:sz w:val="21"/>
                <w:szCs w:val="21"/>
              </w:rPr>
              <w:t>且频繁出现</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restart"/>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主梁竖向位移</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达到</w:t>
            </w:r>
            <w:r>
              <w:rPr>
                <w:rFonts w:cs="Times New Roman"/>
                <w:sz w:val="21"/>
                <w:szCs w:val="21"/>
              </w:rPr>
              <w:t>0.8</w:t>
            </w:r>
            <w:r>
              <w:rPr>
                <w:rFonts w:hint="eastAsia" w:cs="Times New Roman"/>
                <w:sz w:val="21"/>
                <w:szCs w:val="21"/>
              </w:rPr>
              <w:t>倍设计值</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widowControl/>
              <w:spacing w:line="240" w:lineRule="auto"/>
              <w:ind w:firstLine="0" w:firstLineChars="0"/>
              <w:jc w:val="center"/>
              <w:rPr>
                <w:rFonts w:cs="Times New Roman"/>
                <w:sz w:val="21"/>
                <w:szCs w:val="21"/>
              </w:rPr>
            </w:pP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达到设计值或一个月内发现</w:t>
            </w:r>
            <w:r>
              <w:rPr>
                <w:rFonts w:cs="Times New Roman"/>
                <w:sz w:val="21"/>
                <w:szCs w:val="21"/>
              </w:rPr>
              <w:t>10</w:t>
            </w:r>
            <w:r>
              <w:rPr>
                <w:rFonts w:hint="eastAsia" w:cs="Times New Roman"/>
                <w:sz w:val="21"/>
                <w:szCs w:val="21"/>
              </w:rPr>
              <w:t>次以上二级</w:t>
            </w:r>
          </w:p>
        </w:tc>
        <w:tc>
          <w:tcPr>
            <w:tcW w:w="96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三级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restart"/>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主梁横向位移</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达到</w:t>
            </w:r>
            <w:r>
              <w:rPr>
                <w:rFonts w:cs="Times New Roman"/>
                <w:sz w:val="21"/>
                <w:szCs w:val="21"/>
              </w:rPr>
              <w:t>0.8</w:t>
            </w:r>
            <w:r>
              <w:rPr>
                <w:rFonts w:hint="eastAsia" w:cs="Times New Roman"/>
                <w:sz w:val="21"/>
                <w:szCs w:val="21"/>
              </w:rPr>
              <w:t>倍设计值</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widowControl/>
              <w:spacing w:line="240" w:lineRule="auto"/>
              <w:ind w:firstLine="0" w:firstLineChars="0"/>
              <w:jc w:val="center"/>
              <w:rPr>
                <w:rFonts w:cs="Times New Roman"/>
                <w:sz w:val="21"/>
                <w:szCs w:val="21"/>
              </w:rPr>
            </w:pP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达到设计值或一个月内发现</w:t>
            </w:r>
            <w:r>
              <w:rPr>
                <w:rFonts w:cs="Times New Roman"/>
                <w:sz w:val="21"/>
                <w:szCs w:val="21"/>
              </w:rPr>
              <w:t>10</w:t>
            </w:r>
            <w:r>
              <w:rPr>
                <w:rFonts w:hint="eastAsia" w:cs="Times New Roman"/>
                <w:sz w:val="21"/>
                <w:szCs w:val="21"/>
              </w:rPr>
              <w:t>次以上二级</w:t>
            </w:r>
          </w:p>
        </w:tc>
        <w:tc>
          <w:tcPr>
            <w:tcW w:w="96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三级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restart"/>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支座位移</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绝对值达到</w:t>
            </w:r>
            <w:r>
              <w:rPr>
                <w:rFonts w:cs="Times New Roman"/>
                <w:sz w:val="21"/>
                <w:szCs w:val="21"/>
              </w:rPr>
              <w:t>0.8</w:t>
            </w:r>
            <w:r>
              <w:rPr>
                <w:rFonts w:hint="eastAsia" w:cs="Times New Roman"/>
                <w:sz w:val="21"/>
                <w:szCs w:val="21"/>
              </w:rPr>
              <w:t>倍设计值</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widowControl/>
              <w:spacing w:line="240" w:lineRule="auto"/>
              <w:ind w:firstLine="0" w:firstLineChars="0"/>
              <w:jc w:val="center"/>
              <w:rPr>
                <w:rFonts w:cs="Times New Roman"/>
                <w:sz w:val="21"/>
                <w:szCs w:val="21"/>
              </w:rPr>
            </w:pP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绝对值达到设计值</w:t>
            </w:r>
          </w:p>
        </w:tc>
        <w:tc>
          <w:tcPr>
            <w:tcW w:w="96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三级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restart"/>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梁端纵向位移</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绝对值达到</w:t>
            </w:r>
            <w:r>
              <w:rPr>
                <w:rFonts w:cs="Times New Roman"/>
                <w:sz w:val="21"/>
                <w:szCs w:val="21"/>
              </w:rPr>
              <w:t>0.8</w:t>
            </w:r>
            <w:r>
              <w:rPr>
                <w:rFonts w:hint="eastAsia" w:cs="Times New Roman"/>
                <w:sz w:val="21"/>
                <w:szCs w:val="21"/>
              </w:rPr>
              <w:t>倍设计值</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widowControl/>
              <w:spacing w:line="240" w:lineRule="auto"/>
              <w:ind w:firstLine="0" w:firstLineChars="0"/>
              <w:jc w:val="center"/>
              <w:rPr>
                <w:rFonts w:cs="Times New Roman"/>
                <w:sz w:val="21"/>
                <w:szCs w:val="21"/>
              </w:rPr>
            </w:pP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绝对值达到设计值</w:t>
            </w:r>
          </w:p>
        </w:tc>
        <w:tc>
          <w:tcPr>
            <w:tcW w:w="96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三级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restart"/>
            <w:vAlign w:val="center"/>
          </w:tcPr>
          <w:p>
            <w:pPr>
              <w:widowControl/>
              <w:spacing w:line="240" w:lineRule="auto"/>
              <w:ind w:firstLine="0" w:firstLineChars="0"/>
              <w:jc w:val="center"/>
              <w:rPr>
                <w:rFonts w:cs="Times New Roman"/>
                <w:sz w:val="21"/>
                <w:szCs w:val="21"/>
              </w:rPr>
            </w:pPr>
            <w:r>
              <w:rPr>
                <w:rFonts w:hint="eastAsia" w:cs="Times New Roman"/>
                <w:sz w:val="21"/>
                <w:szCs w:val="21"/>
              </w:rPr>
              <w:t>塔顶偏位</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达到</w:t>
            </w:r>
            <w:r>
              <w:rPr>
                <w:rFonts w:cs="Times New Roman"/>
                <w:sz w:val="21"/>
                <w:szCs w:val="21"/>
              </w:rPr>
              <w:t>0.8</w:t>
            </w:r>
            <w:r>
              <w:rPr>
                <w:rFonts w:hint="eastAsia" w:cs="Times New Roman"/>
                <w:sz w:val="21"/>
                <w:szCs w:val="21"/>
              </w:rPr>
              <w:t>倍设计值</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widowControl/>
              <w:spacing w:line="240" w:lineRule="auto"/>
              <w:ind w:firstLine="0" w:firstLineChars="0"/>
              <w:jc w:val="center"/>
              <w:rPr>
                <w:rFonts w:cs="Times New Roman"/>
                <w:sz w:val="21"/>
                <w:szCs w:val="21"/>
              </w:rPr>
            </w:pP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达到设计值或一个月内发现</w:t>
            </w:r>
            <w:r>
              <w:rPr>
                <w:rFonts w:cs="Times New Roman"/>
                <w:sz w:val="21"/>
                <w:szCs w:val="21"/>
              </w:rPr>
              <w:t>10</w:t>
            </w:r>
            <w:r>
              <w:rPr>
                <w:rFonts w:hint="eastAsia" w:cs="Times New Roman"/>
                <w:sz w:val="21"/>
                <w:szCs w:val="21"/>
              </w:rPr>
              <w:t>次以上二级</w:t>
            </w:r>
          </w:p>
        </w:tc>
        <w:tc>
          <w:tcPr>
            <w:tcW w:w="96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三级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restart"/>
            <w:vAlign w:val="center"/>
          </w:tcPr>
          <w:p>
            <w:pPr>
              <w:autoSpaceDE w:val="0"/>
              <w:autoSpaceDN w:val="0"/>
              <w:adjustRightInd w:val="0"/>
              <w:spacing w:line="240" w:lineRule="auto"/>
              <w:ind w:firstLine="0" w:firstLineChars="0"/>
              <w:jc w:val="center"/>
              <w:rPr>
                <w:rFonts w:cs="楷体"/>
                <w:sz w:val="21"/>
                <w:szCs w:val="21"/>
              </w:rPr>
            </w:pPr>
            <w:r>
              <w:rPr>
                <w:rFonts w:hint="eastAsia" w:cs="Times New Roman"/>
                <w:sz w:val="21"/>
                <w:szCs w:val="21"/>
              </w:rPr>
              <w:t>主缆偏位</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达到</w:t>
            </w:r>
            <w:r>
              <w:rPr>
                <w:rFonts w:cs="Times New Roman"/>
                <w:sz w:val="21"/>
                <w:szCs w:val="21"/>
              </w:rPr>
              <w:t>0.8</w:t>
            </w:r>
            <w:r>
              <w:rPr>
                <w:rFonts w:hint="eastAsia" w:cs="Times New Roman"/>
                <w:sz w:val="21"/>
                <w:szCs w:val="21"/>
              </w:rPr>
              <w:t>倍设计值</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widowControl/>
              <w:spacing w:line="240" w:lineRule="auto"/>
              <w:ind w:firstLine="0" w:firstLineChars="0"/>
              <w:jc w:val="center"/>
              <w:rPr>
                <w:rFonts w:cs="Times New Roman"/>
                <w:sz w:val="21"/>
                <w:szCs w:val="21"/>
              </w:rPr>
            </w:pP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达到设计值或一个月内发现</w:t>
            </w:r>
            <w:r>
              <w:rPr>
                <w:rFonts w:cs="Times New Roman"/>
                <w:sz w:val="21"/>
                <w:szCs w:val="21"/>
              </w:rPr>
              <w:t>10</w:t>
            </w:r>
            <w:r>
              <w:rPr>
                <w:rFonts w:hint="eastAsia" w:cs="Times New Roman"/>
                <w:sz w:val="21"/>
                <w:szCs w:val="21"/>
              </w:rPr>
              <w:t>次以上二级</w:t>
            </w:r>
          </w:p>
        </w:tc>
        <w:tc>
          <w:tcPr>
            <w:tcW w:w="96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三级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restart"/>
            <w:vAlign w:val="center"/>
          </w:tcPr>
          <w:p>
            <w:pPr>
              <w:widowControl/>
              <w:spacing w:line="240" w:lineRule="auto"/>
              <w:ind w:firstLine="0" w:firstLineChars="0"/>
              <w:jc w:val="center"/>
              <w:rPr>
                <w:rFonts w:cs="Times New Roman"/>
                <w:sz w:val="21"/>
                <w:szCs w:val="21"/>
              </w:rPr>
            </w:pPr>
            <w:r>
              <w:rPr>
                <w:rFonts w:hint="eastAsia" w:cs="Times New Roman"/>
                <w:sz w:val="21"/>
                <w:szCs w:val="21"/>
              </w:rPr>
              <w:t>梁顶高墩墩顶位移</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达到</w:t>
            </w:r>
            <w:r>
              <w:rPr>
                <w:rFonts w:cs="Times New Roman"/>
                <w:sz w:val="21"/>
                <w:szCs w:val="21"/>
              </w:rPr>
              <w:t>0.8</w:t>
            </w:r>
            <w:r>
              <w:rPr>
                <w:rFonts w:hint="eastAsia" w:cs="Times New Roman"/>
                <w:sz w:val="21"/>
                <w:szCs w:val="21"/>
              </w:rPr>
              <w:t>倍设计值</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widowControl/>
              <w:spacing w:line="240" w:lineRule="auto"/>
              <w:ind w:firstLine="0" w:firstLineChars="0"/>
              <w:jc w:val="center"/>
              <w:rPr>
                <w:rFonts w:cs="Times New Roman"/>
                <w:sz w:val="21"/>
                <w:szCs w:val="21"/>
              </w:rPr>
            </w:pP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达到设计值或一个月内发现</w:t>
            </w:r>
            <w:r>
              <w:rPr>
                <w:rFonts w:cs="Times New Roman"/>
                <w:sz w:val="21"/>
                <w:szCs w:val="21"/>
              </w:rPr>
              <w:t>10</w:t>
            </w:r>
            <w:r>
              <w:rPr>
                <w:rFonts w:hint="eastAsia" w:cs="Times New Roman"/>
                <w:sz w:val="21"/>
                <w:szCs w:val="21"/>
              </w:rPr>
              <w:t>次以上二级</w:t>
            </w:r>
          </w:p>
        </w:tc>
        <w:tc>
          <w:tcPr>
            <w:tcW w:w="96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三级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restart"/>
            <w:vAlign w:val="center"/>
          </w:tcPr>
          <w:p>
            <w:pPr>
              <w:widowControl/>
              <w:spacing w:line="240" w:lineRule="auto"/>
              <w:ind w:firstLine="0" w:firstLineChars="0"/>
              <w:jc w:val="center"/>
              <w:rPr>
                <w:rFonts w:cs="Times New Roman"/>
                <w:sz w:val="21"/>
                <w:szCs w:val="21"/>
              </w:rPr>
            </w:pPr>
            <w:r>
              <w:rPr>
                <w:rFonts w:hint="eastAsia" w:cs="Times New Roman"/>
                <w:sz w:val="21"/>
                <w:szCs w:val="21"/>
              </w:rPr>
              <w:t>拱桥主拱拱顶位移</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达到</w:t>
            </w:r>
            <w:r>
              <w:rPr>
                <w:rFonts w:cs="Times New Roman"/>
                <w:sz w:val="21"/>
                <w:szCs w:val="21"/>
              </w:rPr>
              <w:t>0.8</w:t>
            </w:r>
            <w:r>
              <w:rPr>
                <w:rFonts w:hint="eastAsia" w:cs="Times New Roman"/>
                <w:sz w:val="21"/>
                <w:szCs w:val="21"/>
              </w:rPr>
              <w:t>倍设计值</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widowControl/>
              <w:spacing w:line="240" w:lineRule="auto"/>
              <w:ind w:firstLine="0" w:firstLineChars="0"/>
              <w:jc w:val="center"/>
              <w:rPr>
                <w:rFonts w:cs="Times New Roman"/>
                <w:sz w:val="21"/>
                <w:szCs w:val="21"/>
              </w:rPr>
            </w:pP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达到设计值或一个月内发现</w:t>
            </w:r>
            <w:r>
              <w:rPr>
                <w:rFonts w:cs="Times New Roman"/>
                <w:sz w:val="21"/>
                <w:szCs w:val="21"/>
              </w:rPr>
              <w:t>10</w:t>
            </w:r>
            <w:r>
              <w:rPr>
                <w:rFonts w:hint="eastAsia" w:cs="Times New Roman"/>
                <w:sz w:val="21"/>
                <w:szCs w:val="21"/>
              </w:rPr>
              <w:t>次以上二级</w:t>
            </w:r>
          </w:p>
        </w:tc>
        <w:tc>
          <w:tcPr>
            <w:tcW w:w="96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三级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restart"/>
            <w:vAlign w:val="center"/>
          </w:tcPr>
          <w:p>
            <w:pPr>
              <w:widowControl/>
              <w:spacing w:line="240" w:lineRule="auto"/>
              <w:ind w:firstLine="0" w:firstLineChars="0"/>
              <w:jc w:val="center"/>
              <w:rPr>
                <w:rFonts w:cs="Times New Roman"/>
                <w:sz w:val="21"/>
                <w:szCs w:val="21"/>
              </w:rPr>
            </w:pPr>
            <w:r>
              <w:rPr>
                <w:rFonts w:hint="eastAsia" w:cs="Times New Roman"/>
                <w:sz w:val="21"/>
                <w:szCs w:val="21"/>
              </w:rPr>
              <w:t>主梁、索塔、主拱关键截面静应变</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超过历史最大值</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一级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widowControl/>
              <w:spacing w:line="240" w:lineRule="auto"/>
              <w:ind w:firstLine="0" w:firstLineChars="0"/>
              <w:jc w:val="center"/>
              <w:rPr>
                <w:rFonts w:cs="Times New Roman"/>
                <w:sz w:val="21"/>
                <w:szCs w:val="21"/>
              </w:rPr>
            </w:pP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超过设计最不利工况计算值</w:t>
            </w:r>
          </w:p>
        </w:tc>
        <w:tc>
          <w:tcPr>
            <w:tcW w:w="96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二级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restart"/>
            <w:vAlign w:val="center"/>
          </w:tcPr>
          <w:p>
            <w:pPr>
              <w:widowControl/>
              <w:spacing w:line="240" w:lineRule="auto"/>
              <w:ind w:firstLine="0" w:firstLineChars="0"/>
              <w:jc w:val="center"/>
              <w:rPr>
                <w:rFonts w:cs="Times New Roman"/>
                <w:sz w:val="21"/>
                <w:szCs w:val="21"/>
              </w:rPr>
            </w:pPr>
            <w:r>
              <w:rPr>
                <w:rFonts w:hint="eastAsia" w:cs="Times New Roman"/>
                <w:sz w:val="21"/>
                <w:szCs w:val="21"/>
              </w:rPr>
              <w:t>悬索桥吊索、锚跨索股力斜拉桥拉索、拱桥吊杆（索）、系杆等索力</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达到0.95倍设计值</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widowControl/>
              <w:spacing w:line="240" w:lineRule="auto"/>
              <w:ind w:firstLine="0" w:firstLineChars="0"/>
              <w:jc w:val="center"/>
              <w:rPr>
                <w:rFonts w:cs="Times New Roman"/>
                <w:sz w:val="21"/>
                <w:szCs w:val="21"/>
              </w:rPr>
            </w:pP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超过设计值或一个月内发现</w:t>
            </w:r>
            <w:r>
              <w:rPr>
                <w:rFonts w:cs="Times New Roman"/>
                <w:sz w:val="21"/>
                <w:szCs w:val="21"/>
              </w:rPr>
              <w:t>10</w:t>
            </w:r>
            <w:r>
              <w:rPr>
                <w:rFonts w:hint="eastAsia" w:cs="Times New Roman"/>
                <w:sz w:val="21"/>
                <w:szCs w:val="21"/>
              </w:rPr>
              <w:t>次以上二级</w:t>
            </w:r>
          </w:p>
        </w:tc>
        <w:tc>
          <w:tcPr>
            <w:tcW w:w="96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三级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restart"/>
            <w:vAlign w:val="center"/>
          </w:tcPr>
          <w:p>
            <w:pPr>
              <w:widowControl/>
              <w:spacing w:line="240" w:lineRule="auto"/>
              <w:ind w:firstLine="0" w:firstLineChars="0"/>
              <w:jc w:val="center"/>
              <w:rPr>
                <w:rFonts w:cs="Times New Roman"/>
                <w:sz w:val="21"/>
                <w:szCs w:val="21"/>
              </w:rPr>
            </w:pPr>
            <w:r>
              <w:rPr>
                <w:rFonts w:hint="eastAsia" w:cs="Times New Roman"/>
                <w:sz w:val="21"/>
                <w:szCs w:val="21"/>
              </w:rPr>
              <w:t>支座反力</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绝对值达到</w:t>
            </w:r>
            <w:r>
              <w:rPr>
                <w:rFonts w:cs="Times New Roman"/>
                <w:sz w:val="21"/>
                <w:szCs w:val="21"/>
              </w:rPr>
              <w:t>0.8</w:t>
            </w:r>
            <w:r>
              <w:rPr>
                <w:rFonts w:hint="eastAsia" w:cs="Times New Roman"/>
                <w:sz w:val="21"/>
                <w:szCs w:val="21"/>
              </w:rPr>
              <w:t>倍设计值</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widowControl/>
              <w:spacing w:line="240" w:lineRule="auto"/>
              <w:ind w:firstLine="0" w:firstLineChars="0"/>
              <w:jc w:val="center"/>
              <w:rPr>
                <w:rFonts w:cs="Times New Roman"/>
                <w:sz w:val="21"/>
                <w:szCs w:val="21"/>
              </w:rPr>
            </w:pP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绝对值达到设计值</w:t>
            </w:r>
          </w:p>
        </w:tc>
        <w:tc>
          <w:tcPr>
            <w:tcW w:w="96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三级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restart"/>
            <w:vAlign w:val="center"/>
          </w:tcPr>
          <w:p>
            <w:pPr>
              <w:widowControl/>
              <w:spacing w:line="240" w:lineRule="auto"/>
              <w:ind w:firstLine="0" w:firstLineChars="0"/>
              <w:jc w:val="center"/>
              <w:rPr>
                <w:rFonts w:cs="Times New Roman"/>
                <w:sz w:val="21"/>
                <w:szCs w:val="21"/>
              </w:rPr>
            </w:pPr>
            <w:r>
              <w:rPr>
                <w:rFonts w:hint="eastAsia" w:cs="Times New Roman"/>
                <w:sz w:val="21"/>
                <w:szCs w:val="21"/>
              </w:rPr>
              <w:t>线形</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达到</w:t>
            </w:r>
            <w:r>
              <w:rPr>
                <w:rFonts w:cs="Times New Roman"/>
                <w:sz w:val="21"/>
                <w:szCs w:val="21"/>
              </w:rPr>
              <w:t>0.8</w:t>
            </w:r>
            <w:r>
              <w:rPr>
                <w:rFonts w:hint="eastAsia" w:cs="Times New Roman"/>
                <w:sz w:val="21"/>
                <w:szCs w:val="21"/>
              </w:rPr>
              <w:t>倍设计值</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widowControl/>
              <w:spacing w:line="240" w:lineRule="auto"/>
              <w:ind w:firstLine="0" w:firstLineChars="0"/>
              <w:jc w:val="center"/>
              <w:rPr>
                <w:rFonts w:cs="Times New Roman"/>
                <w:sz w:val="21"/>
                <w:szCs w:val="21"/>
              </w:rPr>
            </w:pP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达到设计值或一个月内发现</w:t>
            </w:r>
            <w:r>
              <w:rPr>
                <w:rFonts w:cs="Times New Roman"/>
                <w:sz w:val="21"/>
                <w:szCs w:val="21"/>
              </w:rPr>
              <w:t>10</w:t>
            </w:r>
            <w:r>
              <w:rPr>
                <w:rFonts w:hint="eastAsia" w:cs="Times New Roman"/>
                <w:sz w:val="21"/>
                <w:szCs w:val="21"/>
              </w:rPr>
              <w:t>次以上二级</w:t>
            </w:r>
          </w:p>
        </w:tc>
        <w:tc>
          <w:tcPr>
            <w:tcW w:w="96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三级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restart"/>
            <w:shd w:val="clear" w:color="auto" w:fill="auto"/>
            <w:vAlign w:val="center"/>
          </w:tcPr>
          <w:p>
            <w:pPr>
              <w:widowControl/>
              <w:spacing w:line="240" w:lineRule="auto"/>
              <w:ind w:firstLine="0" w:firstLineChars="0"/>
              <w:jc w:val="center"/>
              <w:rPr>
                <w:rFonts w:cs="Times New Roman"/>
                <w:sz w:val="21"/>
                <w:szCs w:val="21"/>
              </w:rPr>
            </w:pPr>
            <w:r>
              <w:rPr>
                <w:rFonts w:hint="eastAsia" w:cs="Times New Roman"/>
                <w:sz w:val="21"/>
                <w:szCs w:val="21"/>
              </w:rPr>
              <w:t>结构变化</w:t>
            </w:r>
          </w:p>
        </w:tc>
        <w:tc>
          <w:tcPr>
            <w:tcW w:w="1388" w:type="dxa"/>
            <w:vMerge w:val="restart"/>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基础冲刷</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达到</w:t>
            </w:r>
            <w:r>
              <w:rPr>
                <w:rFonts w:cs="Times New Roman"/>
                <w:sz w:val="21"/>
                <w:szCs w:val="21"/>
              </w:rPr>
              <w:t>0.7</w:t>
            </w:r>
            <w:r>
              <w:rPr>
                <w:rFonts w:hint="eastAsia" w:cs="Times New Roman"/>
                <w:sz w:val="21"/>
                <w:szCs w:val="21"/>
              </w:rPr>
              <w:t>倍设计冲刷深度</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widowControl/>
              <w:spacing w:line="240" w:lineRule="auto"/>
              <w:ind w:firstLine="0" w:firstLineChars="0"/>
              <w:jc w:val="center"/>
              <w:rPr>
                <w:rFonts w:cs="Times New Roman"/>
                <w:sz w:val="21"/>
                <w:szCs w:val="21"/>
              </w:rPr>
            </w:pP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达到设计冲刷深度</w:t>
            </w:r>
          </w:p>
        </w:tc>
        <w:tc>
          <w:tcPr>
            <w:tcW w:w="96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三级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restart"/>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锚碇位移</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锚碇水平位移达到0.00005倍主跨跨径，锚碇竖向位移达到0.0001倍主跨跨径</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widowControl/>
              <w:spacing w:line="240" w:lineRule="auto"/>
              <w:ind w:firstLine="0" w:firstLineChars="0"/>
              <w:jc w:val="center"/>
              <w:rPr>
                <w:rFonts w:cs="Times New Roman"/>
                <w:sz w:val="21"/>
                <w:szCs w:val="21"/>
              </w:rPr>
            </w:pP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锚碇水平位移达到</w:t>
            </w:r>
            <w:r>
              <w:rPr>
                <w:rFonts w:cs="Times New Roman"/>
                <w:sz w:val="21"/>
                <w:szCs w:val="21"/>
              </w:rPr>
              <w:t>0.0001</w:t>
            </w:r>
            <w:r>
              <w:rPr>
                <w:rFonts w:hint="eastAsia" w:cs="Times New Roman"/>
                <w:sz w:val="21"/>
                <w:szCs w:val="21"/>
              </w:rPr>
              <w:t>倍主跨跨径，锚碇竖向位移达到</w:t>
            </w:r>
            <w:r>
              <w:rPr>
                <w:rFonts w:cs="Times New Roman"/>
                <w:sz w:val="21"/>
                <w:szCs w:val="21"/>
              </w:rPr>
              <w:t>0.0002</w:t>
            </w:r>
            <w:r>
              <w:rPr>
                <w:rFonts w:hint="eastAsia" w:cs="Times New Roman"/>
                <w:sz w:val="21"/>
                <w:szCs w:val="21"/>
              </w:rPr>
              <w:t>倍主跨跨径</w:t>
            </w:r>
          </w:p>
        </w:tc>
        <w:tc>
          <w:tcPr>
            <w:tcW w:w="96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三级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restart"/>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拱脚位移</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达到</w:t>
            </w:r>
            <w:r>
              <w:rPr>
                <w:rFonts w:cs="Times New Roman"/>
                <w:sz w:val="21"/>
                <w:szCs w:val="21"/>
              </w:rPr>
              <w:t>0.</w:t>
            </w:r>
            <w:r>
              <w:rPr>
                <w:rFonts w:hint="eastAsia" w:cs="Times New Roman"/>
                <w:sz w:val="21"/>
                <w:szCs w:val="21"/>
              </w:rPr>
              <w:t>8倍设计限值</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hint="eastAsia"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hint="eastAsia"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hint="eastAsia" w:ascii="MS Mincho" w:hAnsi="MS Mincho" w:eastAsia="MS Mincho" w:cs="MS Mincho"/>
                <w:szCs w:val="24"/>
              </w:rPr>
              <w:t>-</w:t>
            </w:r>
          </w:p>
        </w:tc>
        <w:tc>
          <w:tcPr>
            <w:tcW w:w="734"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widowControl/>
              <w:spacing w:line="240" w:lineRule="auto"/>
              <w:ind w:firstLine="0" w:firstLineChars="0"/>
              <w:jc w:val="center"/>
              <w:rPr>
                <w:rFonts w:cs="Times New Roman"/>
                <w:sz w:val="21"/>
                <w:szCs w:val="21"/>
              </w:rPr>
            </w:pP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达到</w:t>
            </w:r>
            <w:r>
              <w:rPr>
                <w:rFonts w:cs="Times New Roman"/>
                <w:sz w:val="21"/>
                <w:szCs w:val="21"/>
              </w:rPr>
              <w:t>1.0</w:t>
            </w:r>
            <w:r>
              <w:rPr>
                <w:rFonts w:hint="eastAsia" w:cs="Times New Roman"/>
                <w:sz w:val="21"/>
                <w:szCs w:val="21"/>
              </w:rPr>
              <w:t>倍设计限值</w:t>
            </w:r>
          </w:p>
        </w:tc>
        <w:tc>
          <w:tcPr>
            <w:tcW w:w="96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三级</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hint="eastAsia"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hint="eastAsia"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hint="eastAsia" w:ascii="MS Mincho" w:hAnsi="MS Mincho" w:eastAsia="MS Mincho" w:cs="MS Mincho"/>
                <w:szCs w:val="24"/>
              </w:rPr>
              <w:t>-</w:t>
            </w:r>
          </w:p>
        </w:tc>
        <w:tc>
          <w:tcPr>
            <w:tcW w:w="734"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restart"/>
            <w:vAlign w:val="center"/>
          </w:tcPr>
          <w:p>
            <w:pPr>
              <w:widowControl/>
              <w:spacing w:line="240" w:lineRule="auto"/>
              <w:ind w:firstLine="0" w:firstLineChars="0"/>
              <w:jc w:val="center"/>
              <w:rPr>
                <w:rFonts w:cs="Times New Roman"/>
                <w:sz w:val="21"/>
                <w:szCs w:val="21"/>
              </w:rPr>
            </w:pPr>
            <w:r>
              <w:rPr>
                <w:rFonts w:hint="eastAsia" w:cs="Times New Roman"/>
                <w:sz w:val="21"/>
                <w:szCs w:val="21"/>
              </w:rPr>
              <w:t>裂缝</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出现结构性裂缝</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一级</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734"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widowControl/>
              <w:spacing w:line="240" w:lineRule="auto"/>
              <w:ind w:firstLine="0" w:firstLineChars="0"/>
              <w:jc w:val="center"/>
              <w:rPr>
                <w:rFonts w:cs="Times New Roman"/>
                <w:sz w:val="21"/>
                <w:szCs w:val="21"/>
              </w:rPr>
            </w:pP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结构性裂缝宽度超过规范限值或发展加速</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734"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腐蚀</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腐蚀深度到达保护层深度</w:t>
            </w:r>
          </w:p>
        </w:tc>
        <w:tc>
          <w:tcPr>
            <w:tcW w:w="96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二级</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hint="eastAsia"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hint="eastAsia"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hint="eastAsia" w:ascii="MS Mincho" w:hAnsi="MS Mincho" w:eastAsia="MS Mincho" w:cs="MS Mincho"/>
                <w:szCs w:val="24"/>
              </w:rPr>
              <w:t>●</w:t>
            </w:r>
          </w:p>
        </w:tc>
        <w:tc>
          <w:tcPr>
            <w:tcW w:w="734"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hint="eastAsia" w:ascii="MS Mincho" w:hAnsi="MS Mincho" w:eastAsia="MS Mincho" w:cs="MS Mincho"/>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restart"/>
            <w:vAlign w:val="center"/>
          </w:tcPr>
          <w:p>
            <w:pPr>
              <w:widowControl/>
              <w:spacing w:line="240" w:lineRule="auto"/>
              <w:ind w:firstLine="0" w:firstLineChars="0"/>
              <w:jc w:val="center"/>
              <w:rPr>
                <w:rFonts w:cs="Times New Roman"/>
                <w:sz w:val="21"/>
                <w:szCs w:val="21"/>
              </w:rPr>
            </w:pPr>
            <w:r>
              <w:rPr>
                <w:rFonts w:hint="eastAsia" w:cs="Times New Roman"/>
                <w:sz w:val="21"/>
                <w:szCs w:val="21"/>
              </w:rPr>
              <w:t>预应力</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体外预应力相对损失超过</w:t>
            </w:r>
            <w:r>
              <w:rPr>
                <w:rFonts w:cs="Times New Roman"/>
                <w:sz w:val="21"/>
                <w:szCs w:val="21"/>
              </w:rPr>
              <w:t xml:space="preserve">5% </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hint="eastAsia"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734"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hint="eastAsia" w:ascii="MS Mincho" w:hAnsi="MS Mincho" w:eastAsia="MS Mincho" w:cs="MS Mincho"/>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widowControl/>
              <w:spacing w:line="240" w:lineRule="auto"/>
              <w:ind w:firstLine="0" w:firstLineChars="0"/>
              <w:jc w:val="center"/>
              <w:rPr>
                <w:rFonts w:cs="Times New Roman"/>
                <w:sz w:val="21"/>
                <w:szCs w:val="21"/>
              </w:rPr>
            </w:pPr>
          </w:p>
        </w:tc>
        <w:tc>
          <w:tcPr>
            <w:tcW w:w="234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体外预应力相对损失超过</w:t>
            </w:r>
            <w:r>
              <w:rPr>
                <w:rFonts w:cs="Times New Roman"/>
                <w:sz w:val="21"/>
                <w:szCs w:val="21"/>
              </w:rPr>
              <w:t>10%</w:t>
            </w:r>
          </w:p>
        </w:tc>
        <w:tc>
          <w:tcPr>
            <w:tcW w:w="96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三级</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hint="eastAsia"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734"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hint="eastAsia" w:ascii="MS Mincho" w:hAnsi="MS Mincho" w:eastAsia="MS Mincho" w:cs="MS Mincho"/>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restart"/>
            <w:vAlign w:val="center"/>
          </w:tcPr>
          <w:p>
            <w:pPr>
              <w:widowControl/>
              <w:spacing w:line="240" w:lineRule="auto"/>
              <w:ind w:firstLine="0" w:firstLineChars="0"/>
              <w:jc w:val="center"/>
              <w:rPr>
                <w:rFonts w:cs="Times New Roman"/>
                <w:sz w:val="21"/>
                <w:szCs w:val="21"/>
              </w:rPr>
            </w:pPr>
            <w:r>
              <w:rPr>
                <w:rFonts w:hint="eastAsia" w:cs="Times New Roman"/>
                <w:sz w:val="21"/>
                <w:szCs w:val="21"/>
              </w:rPr>
              <w:t>断丝</w:t>
            </w:r>
          </w:p>
        </w:tc>
        <w:tc>
          <w:tcPr>
            <w:tcW w:w="234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出现断丝</w:t>
            </w:r>
          </w:p>
        </w:tc>
        <w:tc>
          <w:tcPr>
            <w:tcW w:w="967" w:type="dxa"/>
            <w:vAlign w:val="center"/>
          </w:tcPr>
          <w:p>
            <w:pPr>
              <w:autoSpaceDE w:val="0"/>
              <w:autoSpaceDN w:val="0"/>
              <w:adjustRightInd w:val="0"/>
              <w:spacing w:line="240" w:lineRule="auto"/>
              <w:ind w:firstLine="0" w:firstLineChars="0"/>
              <w:jc w:val="center"/>
              <w:rPr>
                <w:rFonts w:cs="宋体"/>
                <w:sz w:val="21"/>
                <w:szCs w:val="21"/>
              </w:rPr>
            </w:pPr>
            <w:r>
              <w:rPr>
                <w:rFonts w:hint="eastAsia" w:cs="宋体"/>
                <w:sz w:val="21"/>
                <w:szCs w:val="21"/>
              </w:rPr>
              <w:t>二级</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hint="eastAsia" w:ascii="MS Mincho" w:hAnsi="MS Mincho" w:eastAsia="MS Mincho" w:cs="MS Mincho"/>
                <w:szCs w:val="24"/>
              </w:rPr>
              <w:t>-</w:t>
            </w:r>
          </w:p>
        </w:tc>
        <w:tc>
          <w:tcPr>
            <w:tcW w:w="734"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widowControl/>
              <w:spacing w:line="240" w:lineRule="auto"/>
              <w:ind w:firstLine="0" w:firstLineChars="0"/>
              <w:jc w:val="center"/>
              <w:rPr>
                <w:rFonts w:cs="Times New Roman"/>
                <w:sz w:val="21"/>
                <w:szCs w:val="21"/>
              </w:rPr>
            </w:pPr>
          </w:p>
        </w:tc>
        <w:tc>
          <w:tcPr>
            <w:tcW w:w="234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断丝率达到2%</w:t>
            </w:r>
          </w:p>
        </w:tc>
        <w:tc>
          <w:tcPr>
            <w:tcW w:w="96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三级</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hint="eastAsia" w:ascii="MS Mincho" w:hAnsi="MS Mincho" w:eastAsia="MS Mincho" w:cs="MS Mincho"/>
                <w:szCs w:val="24"/>
              </w:rPr>
              <w:t>-</w:t>
            </w:r>
          </w:p>
        </w:tc>
        <w:tc>
          <w:tcPr>
            <w:tcW w:w="734"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restart"/>
            <w:vAlign w:val="center"/>
          </w:tcPr>
          <w:p>
            <w:pPr>
              <w:widowControl/>
              <w:spacing w:line="240" w:lineRule="auto"/>
              <w:ind w:firstLine="0" w:firstLineChars="0"/>
              <w:jc w:val="center"/>
              <w:rPr>
                <w:rFonts w:cs="Times New Roman"/>
                <w:sz w:val="21"/>
                <w:szCs w:val="21"/>
              </w:rPr>
            </w:pPr>
            <w:r>
              <w:rPr>
                <w:rFonts w:hint="eastAsia" w:cs="Times New Roman"/>
                <w:sz w:val="21"/>
                <w:szCs w:val="21"/>
              </w:rPr>
              <w:t>索夹滑移</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索夹出现滑移</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hint="eastAsia"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hint="eastAsia" w:ascii="MS Mincho" w:hAnsi="MS Mincho" w:eastAsia="MS Mincho" w:cs="MS Mincho"/>
                <w:szCs w:val="24"/>
              </w:rPr>
              <w:t>-</w:t>
            </w:r>
          </w:p>
        </w:tc>
        <w:tc>
          <w:tcPr>
            <w:tcW w:w="734"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hint="eastAsia" w:ascii="MS Mincho" w:hAnsi="MS Mincho" w:eastAsia="MS Mincho" w:cs="MS Mincho"/>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widowControl/>
              <w:spacing w:line="240" w:lineRule="auto"/>
              <w:ind w:firstLine="0" w:firstLineChars="0"/>
              <w:jc w:val="center"/>
              <w:rPr>
                <w:rFonts w:cs="Times New Roman"/>
                <w:sz w:val="21"/>
                <w:szCs w:val="21"/>
              </w:rPr>
            </w:pP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索夹滑移严重或较多数量索夹出现滑移</w:t>
            </w:r>
          </w:p>
        </w:tc>
        <w:tc>
          <w:tcPr>
            <w:tcW w:w="96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三级</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hint="eastAsia"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hint="eastAsia" w:ascii="MS Mincho" w:hAnsi="MS Mincho" w:eastAsia="MS Mincho" w:cs="MS Mincho"/>
                <w:szCs w:val="24"/>
              </w:rPr>
              <w:t>-</w:t>
            </w:r>
          </w:p>
        </w:tc>
        <w:tc>
          <w:tcPr>
            <w:tcW w:w="734"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hint="eastAsia" w:ascii="MS Mincho" w:hAnsi="MS Mincho" w:eastAsia="MS Mincho" w:cs="MS Mincho"/>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restart"/>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螺栓状态</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个别螺栓轻微松动</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一级</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734"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widowControl/>
              <w:spacing w:line="240" w:lineRule="auto"/>
              <w:ind w:firstLine="0" w:firstLineChars="0"/>
              <w:jc w:val="center"/>
              <w:rPr>
                <w:rFonts w:cs="Times New Roman"/>
                <w:sz w:val="21"/>
                <w:szCs w:val="21"/>
              </w:rPr>
            </w:pP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部分螺栓松动</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734"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widowControl/>
              <w:spacing w:line="240" w:lineRule="auto"/>
              <w:ind w:firstLine="0" w:firstLineChars="0"/>
              <w:jc w:val="center"/>
              <w:rPr>
                <w:rFonts w:cs="Times New Roman"/>
                <w:sz w:val="21"/>
                <w:szCs w:val="21"/>
              </w:rPr>
            </w:pP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较多螺栓发生严重松动或少量脱落</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三级</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734"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1" w:type="dxa"/>
            <w:gridSpan w:val="2"/>
            <w:vMerge w:val="restart"/>
            <w:shd w:val="clear" w:color="auto" w:fill="auto"/>
            <w:vAlign w:val="center"/>
          </w:tcPr>
          <w:p>
            <w:pPr>
              <w:widowControl/>
              <w:spacing w:line="240" w:lineRule="auto"/>
              <w:ind w:firstLine="0" w:firstLineChars="0"/>
              <w:jc w:val="center"/>
              <w:rPr>
                <w:rFonts w:cs="Times New Roman"/>
                <w:sz w:val="21"/>
                <w:szCs w:val="21"/>
              </w:rPr>
            </w:pPr>
            <w:r>
              <w:rPr>
                <w:rFonts w:hint="eastAsia" w:cs="Times New Roman"/>
                <w:sz w:val="21"/>
                <w:szCs w:val="21"/>
              </w:rPr>
              <w:t>主梁涡振</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cs="Times New Roman"/>
                <w:sz w:val="21"/>
                <w:szCs w:val="21"/>
              </w:rPr>
              <w:t>10</w:t>
            </w:r>
            <w:r>
              <w:rPr>
                <w:rFonts w:hint="eastAsia" w:cs="Times New Roman"/>
                <w:sz w:val="21"/>
                <w:szCs w:val="21"/>
              </w:rPr>
              <w:t>min振动加速度均方根值达到</w:t>
            </w:r>
            <w:r>
              <w:rPr>
                <w:rFonts w:cs="Times New Roman"/>
                <w:sz w:val="21"/>
                <w:szCs w:val="21"/>
              </w:rPr>
              <w:t>31.5 cm/s</w:t>
            </w:r>
            <w:r>
              <w:rPr>
                <w:rFonts w:cs="Times New Roman"/>
                <w:sz w:val="21"/>
                <w:szCs w:val="21"/>
                <w:vertAlign w:val="superscript"/>
              </w:rPr>
              <w:t>2</w:t>
            </w:r>
            <w:r>
              <w:rPr>
                <w:rFonts w:hint="eastAsia" w:cs="Times New Roman"/>
                <w:sz w:val="21"/>
                <w:szCs w:val="21"/>
              </w:rPr>
              <w:t>、能量比因子大于10</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一级</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sz w:val="44"/>
                <w:szCs w:val="44"/>
              </w:rPr>
            </w:pPr>
            <w:r>
              <w:rPr>
                <w:rFonts w:hint="eastAsia" w:ascii="MS Mincho" w:hAnsi="MS Mincho" w:eastAsia="MS Mincho"/>
                <w:sz w:val="44"/>
                <w:szCs w:val="44"/>
              </w:rPr>
              <w:t>◐</w:t>
            </w:r>
          </w:p>
        </w:tc>
        <w:tc>
          <w:tcPr>
            <w:tcW w:w="734"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hint="eastAsia" w:ascii="MS Mincho" w:hAnsi="MS Mincho" w:eastAsia="MS Mincho" w:cs="MS Mincho"/>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1" w:type="dxa"/>
            <w:gridSpan w:val="2"/>
            <w:vMerge w:val="continue"/>
            <w:shd w:val="clear" w:color="auto" w:fill="auto"/>
            <w:vAlign w:val="center"/>
          </w:tcPr>
          <w:p>
            <w:pPr>
              <w:widowControl/>
              <w:spacing w:line="240" w:lineRule="auto"/>
              <w:ind w:firstLine="0" w:firstLineChars="0"/>
              <w:jc w:val="center"/>
              <w:rPr>
                <w:rFonts w:cs="Times New Roman"/>
                <w:sz w:val="21"/>
                <w:szCs w:val="21"/>
              </w:rPr>
            </w:pPr>
          </w:p>
        </w:tc>
        <w:tc>
          <w:tcPr>
            <w:tcW w:w="2347" w:type="dxa"/>
            <w:vAlign w:val="center"/>
          </w:tcPr>
          <w:p>
            <w:pPr>
              <w:widowControl/>
              <w:spacing w:line="240" w:lineRule="auto"/>
              <w:ind w:firstLine="0" w:firstLineChars="0"/>
              <w:jc w:val="center"/>
              <w:rPr>
                <w:rFonts w:cs="Times New Roman"/>
                <w:sz w:val="21"/>
                <w:szCs w:val="21"/>
              </w:rPr>
            </w:pPr>
            <w:r>
              <w:rPr>
                <w:rFonts w:cs="Times New Roman"/>
                <w:sz w:val="21"/>
                <w:szCs w:val="21"/>
              </w:rPr>
              <w:t>10</w:t>
            </w:r>
            <w:r>
              <w:rPr>
                <w:rFonts w:hint="eastAsia" w:cs="Times New Roman"/>
                <w:sz w:val="21"/>
                <w:szCs w:val="21"/>
              </w:rPr>
              <w:t>min振动加速度均方根值达到5</w:t>
            </w:r>
            <w:r>
              <w:rPr>
                <w:rFonts w:cs="Times New Roman"/>
                <w:sz w:val="21"/>
                <w:szCs w:val="21"/>
              </w:rPr>
              <w:t>0 cm/s</w:t>
            </w:r>
            <w:r>
              <w:rPr>
                <w:rFonts w:cs="Times New Roman"/>
                <w:sz w:val="21"/>
                <w:szCs w:val="21"/>
                <w:vertAlign w:val="superscript"/>
              </w:rPr>
              <w:t>2</w:t>
            </w:r>
            <w:r>
              <w:rPr>
                <w:rFonts w:hint="eastAsia" w:cs="Times New Roman"/>
                <w:sz w:val="21"/>
                <w:szCs w:val="21"/>
              </w:rPr>
              <w:t>、能量比因子大于10</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sz w:val="44"/>
                <w:szCs w:val="44"/>
              </w:rPr>
            </w:pPr>
            <w:r>
              <w:rPr>
                <w:rFonts w:hint="eastAsia" w:ascii="MS Mincho" w:hAnsi="MS Mincho" w:eastAsia="MS Mincho"/>
                <w:sz w:val="44"/>
                <w:szCs w:val="44"/>
              </w:rPr>
              <w:t>◐</w:t>
            </w:r>
          </w:p>
        </w:tc>
        <w:tc>
          <w:tcPr>
            <w:tcW w:w="734"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hint="eastAsia" w:ascii="MS Mincho" w:hAnsi="MS Mincho" w:eastAsia="MS Mincho" w:cs="MS Mincho"/>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91" w:type="dxa"/>
            <w:gridSpan w:val="2"/>
            <w:vMerge w:val="continue"/>
            <w:shd w:val="clear" w:color="auto" w:fill="auto"/>
            <w:vAlign w:val="center"/>
          </w:tcPr>
          <w:p>
            <w:pPr>
              <w:widowControl/>
              <w:spacing w:line="240" w:lineRule="auto"/>
              <w:ind w:firstLine="0" w:firstLineChars="0"/>
              <w:jc w:val="center"/>
              <w:rPr>
                <w:rFonts w:cs="Times New Roman"/>
                <w:sz w:val="21"/>
                <w:szCs w:val="21"/>
              </w:rPr>
            </w:pPr>
          </w:p>
        </w:tc>
        <w:tc>
          <w:tcPr>
            <w:tcW w:w="2347" w:type="dxa"/>
            <w:vAlign w:val="center"/>
          </w:tcPr>
          <w:p>
            <w:pPr>
              <w:widowControl/>
              <w:spacing w:line="240" w:lineRule="auto"/>
              <w:ind w:firstLine="0" w:firstLineChars="0"/>
              <w:jc w:val="center"/>
              <w:rPr>
                <w:rFonts w:cs="Times New Roman"/>
                <w:sz w:val="21"/>
                <w:szCs w:val="21"/>
              </w:rPr>
            </w:pPr>
            <w:r>
              <w:rPr>
                <w:rFonts w:cs="Times New Roman"/>
                <w:sz w:val="21"/>
                <w:szCs w:val="21"/>
              </w:rPr>
              <w:t>10</w:t>
            </w:r>
            <w:r>
              <w:rPr>
                <w:rFonts w:hint="eastAsia" w:cs="Times New Roman"/>
                <w:sz w:val="21"/>
                <w:szCs w:val="21"/>
              </w:rPr>
              <w:t>min振动加速度均方根值达到</w:t>
            </w:r>
            <w:r>
              <w:rPr>
                <w:rFonts w:cs="Times New Roman"/>
                <w:sz w:val="21"/>
                <w:szCs w:val="21"/>
              </w:rPr>
              <w:t>80 cm/s</w:t>
            </w:r>
            <w:r>
              <w:rPr>
                <w:rFonts w:cs="Times New Roman"/>
                <w:sz w:val="21"/>
                <w:szCs w:val="21"/>
                <w:vertAlign w:val="superscript"/>
              </w:rPr>
              <w:t>2</w:t>
            </w:r>
            <w:r>
              <w:rPr>
                <w:rFonts w:hint="eastAsia" w:cs="Times New Roman"/>
                <w:sz w:val="21"/>
                <w:szCs w:val="21"/>
              </w:rPr>
              <w:t>、能量比因子大于10</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三级</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sz w:val="44"/>
                <w:szCs w:val="44"/>
              </w:rPr>
            </w:pPr>
            <w:r>
              <w:rPr>
                <w:rFonts w:ascii="MS Mincho" w:hAnsi="MS Mincho" w:eastAsia="MS Mincho"/>
                <w:sz w:val="44"/>
                <w:szCs w:val="44"/>
              </w:rPr>
              <w:t>◐</w:t>
            </w:r>
          </w:p>
        </w:tc>
        <w:tc>
          <w:tcPr>
            <w:tcW w:w="734"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hint="eastAsia" w:ascii="MS Mincho" w:hAnsi="MS Mincho" w:eastAsia="MS Mincho" w:cs="MS Mincho"/>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restart"/>
            <w:shd w:val="clear" w:color="auto" w:fill="auto"/>
            <w:vAlign w:val="center"/>
          </w:tcPr>
          <w:p>
            <w:pPr>
              <w:widowControl/>
              <w:spacing w:line="240" w:lineRule="auto"/>
              <w:ind w:firstLine="0" w:firstLineChars="0"/>
              <w:jc w:val="center"/>
              <w:rPr>
                <w:rFonts w:cs="Times New Roman"/>
                <w:sz w:val="21"/>
                <w:szCs w:val="21"/>
              </w:rPr>
            </w:pPr>
            <w:r>
              <w:rPr>
                <w:rFonts w:hint="eastAsia" w:cs="Times New Roman"/>
                <w:sz w:val="21"/>
                <w:szCs w:val="21"/>
              </w:rPr>
              <w:t>监测数据分析结果</w:t>
            </w:r>
          </w:p>
        </w:tc>
        <w:tc>
          <w:tcPr>
            <w:tcW w:w="1388" w:type="dxa"/>
            <w:vMerge w:val="restart"/>
            <w:vAlign w:val="center"/>
          </w:tcPr>
          <w:p>
            <w:pPr>
              <w:widowControl/>
              <w:spacing w:line="240" w:lineRule="auto"/>
              <w:ind w:firstLine="0" w:firstLineChars="0"/>
              <w:jc w:val="center"/>
              <w:rPr>
                <w:rFonts w:cs="Times New Roman"/>
                <w:sz w:val="21"/>
                <w:szCs w:val="21"/>
              </w:rPr>
            </w:pPr>
            <w:r>
              <w:rPr>
                <w:rFonts w:hint="eastAsia" w:cs="Times New Roman"/>
                <w:sz w:val="21"/>
                <w:szCs w:val="21"/>
              </w:rPr>
              <w:t>钢结构疲劳</w:t>
            </w:r>
          </w:p>
        </w:tc>
        <w:tc>
          <w:tcPr>
            <w:tcW w:w="234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疲劳损伤指数达到0.1</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一级</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734"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widowControl/>
              <w:spacing w:line="240" w:lineRule="auto"/>
              <w:ind w:firstLine="0" w:firstLineChars="0"/>
              <w:jc w:val="center"/>
              <w:rPr>
                <w:rFonts w:cs="Times New Roman"/>
                <w:sz w:val="21"/>
                <w:szCs w:val="21"/>
              </w:rPr>
            </w:pP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出现较多疲劳裂缝，或裂缝长度和宽度较大</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734"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塔顶或主缆或主拱偏位</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出现永久偏位</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三级</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hint="eastAsia" w:ascii="MS Mincho" w:hAnsi="MS Mincho" w:eastAsia="MS Mincho" w:cs="MS Mincho"/>
                <w:szCs w:val="24"/>
              </w:rPr>
              <w:t>-</w:t>
            </w:r>
          </w:p>
        </w:tc>
        <w:tc>
          <w:tcPr>
            <w:tcW w:w="734"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主梁下挠</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持续下挠</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三级</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734"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桥梁沉降</w:t>
            </w:r>
            <w:r>
              <w:rPr>
                <w:rFonts w:hint="eastAsia" w:cs="Times New Roman"/>
                <w:sz w:val="21"/>
                <w:szCs w:val="21"/>
                <w:vertAlign w:val="superscript"/>
              </w:rPr>
              <w:t>e</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墩台均匀总沉降达到20</w:t>
            </w:r>
            <m:oMath>
              <m:rad>
                <m:radPr>
                  <m:degHide m:val="1"/>
                  <m:ctrlPr>
                    <w:rPr>
                      <w:rFonts w:ascii="Cambria Math" w:hAnsi="Cambria Math" w:cs="Times New Roman"/>
                      <w:i/>
                      <w:sz w:val="21"/>
                      <w:szCs w:val="21"/>
                    </w:rPr>
                  </m:ctrlPr>
                </m:radPr>
                <m:deg>
                  <m:ctrlPr>
                    <w:rPr>
                      <w:rFonts w:ascii="Cambria Math" w:hAnsi="Cambria Math" w:cs="Times New Roman"/>
                      <w:i/>
                      <w:sz w:val="21"/>
                      <w:szCs w:val="21"/>
                    </w:rPr>
                  </m:ctrlPr>
                </m:deg>
                <m:e>
                  <m:r>
                    <m:rPr/>
                    <w:rPr>
                      <w:rFonts w:ascii="Cambria Math" w:hAnsi="Cambria Math" w:cs="Times New Roman"/>
                      <w:sz w:val="21"/>
                      <w:szCs w:val="21"/>
                    </w:rPr>
                    <m:t>L</m:t>
                  </m:r>
                  <m:ctrlPr>
                    <w:rPr>
                      <w:rFonts w:ascii="Cambria Math" w:hAnsi="Cambria Math" w:cs="Times New Roman"/>
                      <w:i/>
                      <w:sz w:val="21"/>
                      <w:szCs w:val="21"/>
                    </w:rPr>
                  </m:ctrlPr>
                </m:e>
              </m:rad>
            </m:oMath>
            <w:r>
              <w:rPr>
                <w:rFonts w:hint="eastAsia" w:cs="Times New Roman"/>
                <w:sz w:val="21"/>
                <w:szCs w:val="21"/>
              </w:rPr>
              <w:t>mm，或相邻墩台总沉降差值达到10</w:t>
            </w:r>
            <m:oMath>
              <m:rad>
                <m:radPr>
                  <m:degHide m:val="1"/>
                  <m:ctrlPr>
                    <w:rPr>
                      <w:rFonts w:ascii="Cambria Math" w:hAnsi="Cambria Math" w:cs="Times New Roman"/>
                      <w:i/>
                      <w:sz w:val="21"/>
                      <w:szCs w:val="21"/>
                    </w:rPr>
                  </m:ctrlPr>
                </m:radPr>
                <m:deg>
                  <m:ctrlPr>
                    <w:rPr>
                      <w:rFonts w:ascii="Cambria Math" w:hAnsi="Cambria Math" w:cs="Times New Roman"/>
                      <w:i/>
                      <w:sz w:val="21"/>
                      <w:szCs w:val="21"/>
                    </w:rPr>
                  </m:ctrlPr>
                </m:deg>
                <m:e>
                  <m:r>
                    <m:rPr/>
                    <w:rPr>
                      <w:rFonts w:ascii="Cambria Math" w:hAnsi="Cambria Math" w:cs="Times New Roman"/>
                      <w:sz w:val="21"/>
                      <w:szCs w:val="21"/>
                    </w:rPr>
                    <m:t>L</m:t>
                  </m:r>
                  <m:ctrlPr>
                    <w:rPr>
                      <w:rFonts w:ascii="Cambria Math" w:hAnsi="Cambria Math" w:cs="Times New Roman"/>
                      <w:i/>
                      <w:sz w:val="21"/>
                      <w:szCs w:val="21"/>
                    </w:rPr>
                  </m:ctrlPr>
                </m:e>
              </m:rad>
            </m:oMath>
            <w:r>
              <w:rPr>
                <w:rFonts w:hint="eastAsia" w:cs="Times New Roman"/>
                <w:sz w:val="21"/>
                <w:szCs w:val="21"/>
              </w:rPr>
              <w:t>mm</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三级</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hint="eastAsia"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hint="eastAsia"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734"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hint="eastAsia" w:ascii="MS Mincho" w:hAnsi="MS Mincho" w:eastAsia="MS Mincho" w:cs="MS Mincho"/>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restart"/>
            <w:vAlign w:val="center"/>
          </w:tcPr>
          <w:p>
            <w:pPr>
              <w:widowControl/>
              <w:spacing w:line="240" w:lineRule="auto"/>
              <w:ind w:firstLine="0" w:firstLineChars="0"/>
              <w:jc w:val="center"/>
              <w:rPr>
                <w:rFonts w:cs="Times New Roman"/>
                <w:sz w:val="21"/>
                <w:szCs w:val="21"/>
              </w:rPr>
            </w:pPr>
            <w:r>
              <w:rPr>
                <w:rFonts w:hint="eastAsia" w:cs="Times New Roman"/>
                <w:sz w:val="21"/>
                <w:szCs w:val="21"/>
              </w:rPr>
              <w:t>索力基准值</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与成桥索力相比变化超过10%</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c>
          <w:tcPr>
            <w:tcW w:w="689"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hint="eastAsia" w:ascii="MS Mincho" w:hAnsi="MS Mincho" w:eastAsia="MS Mincho" w:cs="MS Mincho"/>
                <w:szCs w:val="24"/>
              </w:rPr>
              <w:t>-</w:t>
            </w:r>
          </w:p>
        </w:tc>
        <w:tc>
          <w:tcPr>
            <w:tcW w:w="734" w:type="dxa"/>
            <w:shd w:val="clear" w:color="auto" w:fill="auto"/>
            <w:vAlign w:val="center"/>
          </w:tcPr>
          <w:p>
            <w:pPr>
              <w:widowControl/>
              <w:spacing w:line="240" w:lineRule="auto"/>
              <w:ind w:firstLine="0" w:firstLineChars="0"/>
              <w:jc w:val="center"/>
              <w:rPr>
                <w:rFonts w:ascii="MS Mincho" w:hAnsi="MS Mincho" w:eastAsia="MS Mincho" w:cs="MS Mincho"/>
                <w:szCs w:val="24"/>
              </w:rPr>
            </w:pPr>
            <w:r>
              <w:rPr>
                <w:rFonts w:ascii="MS Mincho" w:hAnsi="MS Mincho" w:eastAsia="MS Mincho" w:cs="MS Mincho"/>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widowControl/>
              <w:spacing w:line="240" w:lineRule="auto"/>
              <w:ind w:firstLine="0" w:firstLineChars="0"/>
              <w:jc w:val="center"/>
              <w:rPr>
                <w:rFonts w:cs="Times New Roman"/>
                <w:sz w:val="21"/>
                <w:szCs w:val="21"/>
              </w:rPr>
            </w:pP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与成桥索力相比变化超过15%</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三级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hint="eastAsia"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restart"/>
            <w:vAlign w:val="center"/>
          </w:tcPr>
          <w:p>
            <w:pPr>
              <w:widowControl/>
              <w:spacing w:line="240" w:lineRule="auto"/>
              <w:ind w:firstLine="0" w:firstLineChars="0"/>
              <w:jc w:val="center"/>
              <w:rPr>
                <w:rFonts w:cs="Times New Roman"/>
                <w:sz w:val="21"/>
                <w:szCs w:val="21"/>
              </w:rPr>
            </w:pPr>
            <w:r>
              <w:rPr>
                <w:rFonts w:hint="eastAsia" w:cs="Times New Roman"/>
                <w:sz w:val="21"/>
                <w:szCs w:val="21"/>
              </w:rPr>
              <w:t>剔除环境影响的桥梁主要频率变化</w:t>
            </w: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超过3%</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Merge w:val="continue"/>
            <w:shd w:val="clear" w:color="auto" w:fill="auto"/>
            <w:vAlign w:val="center"/>
          </w:tcPr>
          <w:p>
            <w:pPr>
              <w:widowControl/>
              <w:spacing w:line="240" w:lineRule="auto"/>
              <w:ind w:firstLine="0" w:firstLineChars="0"/>
              <w:jc w:val="center"/>
              <w:rPr>
                <w:rFonts w:cs="Times New Roman"/>
                <w:sz w:val="21"/>
                <w:szCs w:val="21"/>
              </w:rPr>
            </w:pPr>
          </w:p>
        </w:tc>
        <w:tc>
          <w:tcPr>
            <w:tcW w:w="1388" w:type="dxa"/>
            <w:vMerge w:val="continue"/>
            <w:vAlign w:val="center"/>
          </w:tcPr>
          <w:p>
            <w:pPr>
              <w:widowControl/>
              <w:spacing w:line="240" w:lineRule="auto"/>
              <w:ind w:firstLine="0" w:firstLineChars="0"/>
              <w:jc w:val="center"/>
              <w:rPr>
                <w:rFonts w:cs="Times New Roman"/>
                <w:sz w:val="21"/>
                <w:szCs w:val="21"/>
              </w:rPr>
            </w:pPr>
          </w:p>
        </w:tc>
        <w:tc>
          <w:tcPr>
            <w:tcW w:w="2347" w:type="dxa"/>
            <w:vAlign w:val="center"/>
          </w:tcPr>
          <w:p>
            <w:pPr>
              <w:autoSpaceDE w:val="0"/>
              <w:autoSpaceDN w:val="0"/>
              <w:adjustRightInd w:val="0"/>
              <w:spacing w:line="240" w:lineRule="auto"/>
              <w:ind w:firstLine="0" w:firstLineChars="0"/>
              <w:jc w:val="center"/>
              <w:rPr>
                <w:rFonts w:cs="Times New Roman"/>
                <w:sz w:val="21"/>
                <w:szCs w:val="21"/>
              </w:rPr>
            </w:pPr>
            <w:r>
              <w:rPr>
                <w:rFonts w:hint="eastAsia" w:cs="Times New Roman"/>
                <w:sz w:val="21"/>
                <w:szCs w:val="21"/>
              </w:rPr>
              <w:t>超过5%</w:t>
            </w:r>
          </w:p>
        </w:tc>
        <w:tc>
          <w:tcPr>
            <w:tcW w:w="967"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三级</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689"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c>
          <w:tcPr>
            <w:tcW w:w="734" w:type="dxa"/>
            <w:shd w:val="clear" w:color="auto" w:fill="auto"/>
            <w:vAlign w:val="center"/>
          </w:tcPr>
          <w:p>
            <w:pPr>
              <w:widowControl/>
              <w:spacing w:line="240" w:lineRule="auto"/>
              <w:ind w:firstLine="0" w:firstLineChars="0"/>
              <w:jc w:val="center"/>
              <w:rPr>
                <w:rFonts w:ascii="宋体" w:hAnsi="宋体" w:cs="Times New Roman"/>
                <w:sz w:val="21"/>
                <w:szCs w:val="21"/>
              </w:rPr>
            </w:pPr>
            <w:r>
              <w:rPr>
                <w:rFonts w:ascii="宋体" w:hAnsi="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6" w:type="dxa"/>
            <w:gridSpan w:val="8"/>
            <w:shd w:val="clear" w:color="auto" w:fill="auto"/>
            <w:vAlign w:val="center"/>
          </w:tcPr>
          <w:p>
            <w:pPr>
              <w:autoSpaceDE w:val="0"/>
              <w:autoSpaceDN w:val="0"/>
              <w:adjustRightInd w:val="0"/>
              <w:snapToGrid w:val="0"/>
              <w:spacing w:line="240" w:lineRule="auto"/>
              <w:ind w:firstLine="0" w:firstLineChars="0"/>
              <w:jc w:val="left"/>
              <w:rPr>
                <w:rFonts w:cs="宋体"/>
                <w:kern w:val="0"/>
                <w:sz w:val="21"/>
                <w:szCs w:val="21"/>
              </w:rPr>
            </w:pPr>
            <w:r>
              <w:rPr>
                <w:rFonts w:hint="eastAsia" w:cs="宋体"/>
                <w:kern w:val="0"/>
                <w:sz w:val="21"/>
                <w:szCs w:val="21"/>
              </w:rPr>
              <w:t>注：●为应报警项；</w:t>
            </w:r>
            <w:r>
              <w:rPr>
                <w:rFonts w:hint="eastAsia" w:eastAsia="MS Mincho" w:cs="MS Mincho"/>
                <w:sz w:val="36"/>
                <w:szCs w:val="36"/>
              </w:rPr>
              <w:t>◐</w:t>
            </w:r>
            <w:r>
              <w:rPr>
                <w:rFonts w:hint="eastAsia" w:cs="宋体"/>
                <w:kern w:val="0"/>
                <w:sz w:val="21"/>
                <w:szCs w:val="21"/>
              </w:rPr>
              <w:t>针对大跨度钢桥；</w:t>
            </w:r>
            <w:r>
              <w:rPr>
                <w:rFonts w:hint="eastAsia" w:cs="Times New Roman"/>
                <w:sz w:val="21"/>
                <w:szCs w:val="21"/>
              </w:rPr>
              <w:t>—</w:t>
            </w:r>
            <w:r>
              <w:rPr>
                <w:rFonts w:hint="eastAsia" w:cs="宋体"/>
                <w:kern w:val="0"/>
                <w:sz w:val="21"/>
                <w:szCs w:val="21"/>
              </w:rPr>
              <w:t>为无须报警项。</w:t>
            </w:r>
          </w:p>
          <w:p>
            <w:pPr>
              <w:autoSpaceDE w:val="0"/>
              <w:autoSpaceDN w:val="0"/>
              <w:adjustRightInd w:val="0"/>
              <w:snapToGrid w:val="0"/>
              <w:spacing w:line="240" w:lineRule="auto"/>
              <w:ind w:firstLine="0" w:firstLineChars="0"/>
              <w:jc w:val="left"/>
              <w:rPr>
                <w:rFonts w:cs="Times New Roman"/>
                <w:sz w:val="21"/>
                <w:szCs w:val="21"/>
              </w:rPr>
            </w:pPr>
            <w:r>
              <w:rPr>
                <w:rFonts w:hint="eastAsia" w:cs="宋体"/>
                <w:kern w:val="0"/>
                <w:sz w:val="21"/>
                <w:szCs w:val="21"/>
              </w:rPr>
              <w:t xml:space="preserve">      表中L为相邻墩台最小跨径，单位为米（m）。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6" w:type="dxa"/>
            <w:gridSpan w:val="8"/>
            <w:shd w:val="clear" w:color="auto" w:fill="auto"/>
            <w:vAlign w:val="center"/>
          </w:tcPr>
          <w:p>
            <w:pPr>
              <w:widowControl/>
              <w:snapToGrid w:val="0"/>
              <w:spacing w:line="360" w:lineRule="auto"/>
              <w:ind w:firstLine="0" w:firstLineChars="0"/>
              <w:jc w:val="left"/>
              <w:rPr>
                <w:rFonts w:cs="宋体"/>
                <w:sz w:val="21"/>
                <w:szCs w:val="21"/>
              </w:rPr>
            </w:pPr>
            <w:r>
              <w:rPr>
                <w:rFonts w:hint="eastAsia" w:cs="Times New Roman"/>
                <w:sz w:val="21"/>
                <w:szCs w:val="21"/>
              </w:rPr>
              <w:t>a</w:t>
            </w:r>
            <w:r>
              <w:rPr>
                <w:rFonts w:cs="Times New Roman"/>
                <w:sz w:val="21"/>
                <w:szCs w:val="21"/>
              </w:rPr>
              <w:t xml:space="preserve"> </w:t>
            </w:r>
            <w:r>
              <w:rPr>
                <w:rFonts w:hint="eastAsia" w:cs="宋体"/>
                <w:sz w:val="21"/>
                <w:szCs w:val="21"/>
              </w:rPr>
              <w:t>“超限阈值”一列中的“设计值”参考了《公路桥涵设计通用规范》JTG D60、《公路钢筋混凝土及预应力混凝土桥涵设计规范》JTG 3362、《公路悬索桥设计规范》JTG/T D65</w:t>
            </w:r>
            <w:r>
              <w:rPr>
                <w:rFonts w:hint="eastAsia" w:cs="Times New Roman"/>
                <w:sz w:val="21"/>
                <w:szCs w:val="21"/>
              </w:rPr>
              <w:t>—</w:t>
            </w:r>
            <w:r>
              <w:rPr>
                <w:rFonts w:hint="eastAsia" w:cs="宋体"/>
                <w:sz w:val="21"/>
                <w:szCs w:val="21"/>
              </w:rPr>
              <w:t>05、《公路斜拉桥设计规范》JTG/T 3365</w:t>
            </w:r>
            <w:r>
              <w:rPr>
                <w:rFonts w:hint="eastAsia" w:cs="Times New Roman"/>
                <w:sz w:val="21"/>
                <w:szCs w:val="21"/>
              </w:rPr>
              <w:t>—</w:t>
            </w:r>
            <w:r>
              <w:rPr>
                <w:rFonts w:hint="eastAsia" w:cs="宋体"/>
                <w:sz w:val="21"/>
                <w:szCs w:val="21"/>
              </w:rPr>
              <w:t>01、《公路钢管混凝土拱桥设计规范》JTG/T D65</w:t>
            </w:r>
            <w:r>
              <w:rPr>
                <w:rFonts w:hint="eastAsia" w:cs="Times New Roman"/>
                <w:sz w:val="21"/>
                <w:szCs w:val="21"/>
              </w:rPr>
              <w:t>—</w:t>
            </w:r>
            <w:r>
              <w:rPr>
                <w:rFonts w:hint="eastAsia" w:cs="宋体"/>
                <w:sz w:val="21"/>
                <w:szCs w:val="21"/>
              </w:rPr>
              <w:t>06、《公路桥梁抗风设计规范》JTG/T 3360</w:t>
            </w:r>
            <w:r>
              <w:rPr>
                <w:rFonts w:hint="eastAsia" w:cs="Times New Roman"/>
                <w:sz w:val="21"/>
                <w:szCs w:val="21"/>
              </w:rPr>
              <w:t>—</w:t>
            </w:r>
            <w:r>
              <w:rPr>
                <w:rFonts w:hint="eastAsia" w:cs="宋体"/>
                <w:sz w:val="21"/>
                <w:szCs w:val="21"/>
              </w:rPr>
              <w:t>01的相关规定。锚碇位移限值参考了《公路悬索桥设计规范》JTG/T D65</w:t>
            </w:r>
            <w:r>
              <w:rPr>
                <w:rFonts w:hint="eastAsia" w:cs="Times New Roman"/>
                <w:sz w:val="21"/>
                <w:szCs w:val="21"/>
              </w:rPr>
              <w:t>—</w:t>
            </w:r>
            <w:r>
              <w:rPr>
                <w:rFonts w:hint="eastAsia" w:cs="宋体"/>
                <w:sz w:val="21"/>
                <w:szCs w:val="21"/>
              </w:rPr>
              <w:t>05的相关规定。裂缝限值参考《公路桥涵养护规范》JTG 5120</w:t>
            </w:r>
            <w:r>
              <w:rPr>
                <w:rFonts w:hint="eastAsia" w:cs="Times New Roman"/>
                <w:sz w:val="21"/>
                <w:szCs w:val="21"/>
              </w:rPr>
              <w:t>—</w:t>
            </w:r>
            <w:r>
              <w:rPr>
                <w:rFonts w:hint="eastAsia" w:cs="宋体"/>
                <w:sz w:val="21"/>
                <w:szCs w:val="21"/>
              </w:rPr>
              <w:t>2021、《公路桥梁技术状况评定标准》JTG/T H21的相关规定。</w:t>
            </w:r>
          </w:p>
          <w:p>
            <w:pPr>
              <w:widowControl/>
              <w:snapToGrid w:val="0"/>
              <w:spacing w:line="360" w:lineRule="auto"/>
              <w:ind w:firstLine="0" w:firstLineChars="0"/>
              <w:jc w:val="left"/>
              <w:rPr>
                <w:rFonts w:cs="Times New Roman"/>
                <w:sz w:val="21"/>
                <w:szCs w:val="21"/>
              </w:rPr>
            </w:pPr>
            <w:r>
              <w:rPr>
                <w:rFonts w:hint="eastAsia" w:cs="Times New Roman"/>
                <w:sz w:val="21"/>
                <w:szCs w:val="21"/>
              </w:rPr>
              <w:t>b</w:t>
            </w:r>
            <w:r>
              <w:rPr>
                <w:rFonts w:cs="Times New Roman"/>
                <w:sz w:val="21"/>
                <w:szCs w:val="21"/>
              </w:rPr>
              <w:t xml:space="preserve"> </w:t>
            </w:r>
            <w:r>
              <w:rPr>
                <w:rFonts w:hint="eastAsia" w:cs="Times New Roman"/>
                <w:sz w:val="21"/>
                <w:szCs w:val="21"/>
              </w:rPr>
              <w:t>构件封闭空间为主梁内，悬索桥主缆、锚室和鞍罩内，斜拉桥索塔和索塔锚固区内，拱桥主拱内封闭空间。</w:t>
            </w:r>
          </w:p>
          <w:p>
            <w:pPr>
              <w:widowControl/>
              <w:snapToGrid w:val="0"/>
              <w:spacing w:line="360" w:lineRule="auto"/>
              <w:ind w:firstLine="0" w:firstLineChars="0"/>
              <w:jc w:val="left"/>
              <w:rPr>
                <w:rFonts w:cs="Times New Roman"/>
                <w:sz w:val="21"/>
                <w:szCs w:val="21"/>
              </w:rPr>
            </w:pPr>
            <w:r>
              <w:rPr>
                <w:rFonts w:hint="eastAsia" w:cs="Times New Roman"/>
                <w:sz w:val="21"/>
                <w:szCs w:val="21"/>
              </w:rPr>
              <w:t>c</w:t>
            </w:r>
            <w:r>
              <w:rPr>
                <w:rFonts w:cs="Times New Roman"/>
                <w:sz w:val="21"/>
                <w:szCs w:val="21"/>
              </w:rPr>
              <w:t xml:space="preserve"> </w:t>
            </w:r>
            <w:r>
              <w:rPr>
                <w:rFonts w:hint="eastAsia" w:cs="Times New Roman"/>
                <w:sz w:val="21"/>
                <w:szCs w:val="21"/>
              </w:rPr>
              <w:t>桥梁涡振报警选取主梁竖向加速度均方根值和能量比因子作为报警指标，阈值取值的原则依据已有桥梁发生涡振的加速度均方根值统计规律以及ISO 2631-1舒适性标准制定。超限一级、二级和三级阈值分别取为31.5 cm/s</w:t>
            </w:r>
            <w:r>
              <w:rPr>
                <w:rFonts w:hint="eastAsia" w:cs="Times New Roman"/>
                <w:sz w:val="21"/>
                <w:szCs w:val="21"/>
                <w:vertAlign w:val="superscript"/>
              </w:rPr>
              <w:t>2</w:t>
            </w:r>
            <w:r>
              <w:rPr>
                <w:rFonts w:hint="eastAsia" w:cs="Times New Roman"/>
                <w:sz w:val="21"/>
                <w:szCs w:val="21"/>
              </w:rPr>
              <w:t>、50 cm/s</w:t>
            </w:r>
            <w:r>
              <w:rPr>
                <w:rFonts w:hint="eastAsia" w:cs="Times New Roman"/>
                <w:sz w:val="21"/>
                <w:szCs w:val="21"/>
                <w:vertAlign w:val="superscript"/>
              </w:rPr>
              <w:t>2</w:t>
            </w:r>
            <w:r>
              <w:rPr>
                <w:rFonts w:hint="eastAsia" w:cs="Times New Roman"/>
                <w:sz w:val="21"/>
                <w:szCs w:val="21"/>
              </w:rPr>
              <w:t>和80 cm/s</w:t>
            </w:r>
            <w:r>
              <w:rPr>
                <w:rFonts w:hint="eastAsia" w:cs="Times New Roman"/>
                <w:sz w:val="21"/>
                <w:szCs w:val="21"/>
                <w:vertAlign w:val="superscript"/>
              </w:rPr>
              <w:t>2</w:t>
            </w:r>
            <w:r>
              <w:rPr>
                <w:rFonts w:hint="eastAsia" w:cs="Times New Roman"/>
                <w:sz w:val="21"/>
                <w:szCs w:val="21"/>
              </w:rPr>
              <w:t>分别对应ISO 2631-1中的“稍有不舒适”、“比较不舒适”和“不舒适”的下限。</w:t>
            </w:r>
          </w:p>
          <w:p>
            <w:pPr>
              <w:snapToGrid w:val="0"/>
              <w:spacing w:line="360" w:lineRule="auto"/>
              <w:ind w:firstLine="0" w:firstLineChars="0"/>
              <w:rPr>
                <w:sz w:val="21"/>
                <w:szCs w:val="21"/>
              </w:rPr>
            </w:pPr>
            <w:r>
              <w:rPr>
                <w:rFonts w:hint="eastAsia"/>
                <w:sz w:val="21"/>
                <w:szCs w:val="21"/>
              </w:rPr>
              <w:t>d</w:t>
            </w:r>
            <w:r>
              <w:rPr>
                <w:sz w:val="21"/>
                <w:szCs w:val="21"/>
              </w:rPr>
              <w:t xml:space="preserve"> </w:t>
            </w:r>
            <w:r>
              <w:rPr>
                <w:rFonts w:hint="eastAsia" w:cs="Times New Roman"/>
                <w:sz w:val="21"/>
                <w:szCs w:val="21"/>
              </w:rPr>
              <w:t>数据分析结果超限报警为非同步报警项。</w:t>
            </w:r>
            <w:r>
              <w:rPr>
                <w:rFonts w:cs="Times New Roman"/>
                <w:sz w:val="21"/>
                <w:szCs w:val="21"/>
              </w:rPr>
              <w:t xml:space="preserve"> </w:t>
            </w:r>
          </w:p>
          <w:p>
            <w:pPr>
              <w:snapToGrid w:val="0"/>
              <w:spacing w:line="360" w:lineRule="auto"/>
              <w:ind w:firstLine="0" w:firstLineChars="0"/>
              <w:jc w:val="left"/>
              <w:rPr>
                <w:rFonts w:cs="宋体"/>
                <w:kern w:val="0"/>
                <w:sz w:val="21"/>
                <w:szCs w:val="21"/>
              </w:rPr>
            </w:pPr>
          </w:p>
        </w:tc>
      </w:tr>
    </w:tbl>
    <w:p>
      <w:pPr>
        <w:ind w:firstLine="480"/>
      </w:pPr>
    </w:p>
    <w:p>
      <w:pPr>
        <w:pStyle w:val="4"/>
      </w:pPr>
      <w:r>
        <w:rPr>
          <w:rFonts w:hint="eastAsia"/>
        </w:rPr>
        <w:t>监测系统报警功能应与桥梁养护管理制度形成协同机制，出现报警时宜及时提醒桥梁养护管理单位采取桥梁检查（测）、特殊检测、交通管制、封闭桥梁等响应措施。</w:t>
      </w:r>
    </w:p>
    <w:p>
      <w:pPr>
        <w:pStyle w:val="4"/>
      </w:pPr>
      <w:r>
        <w:rPr>
          <w:rFonts w:hint="eastAsia"/>
        </w:rPr>
        <w:t>当监测数据和分析结果超限时，宜进行桥梁检查或</w:t>
      </w:r>
      <w:r>
        <w:t>管控</w:t>
      </w:r>
      <w:r>
        <w:rPr>
          <w:rFonts w:hint="eastAsia"/>
        </w:rPr>
        <w:t>，并应制定相应检查、</w:t>
      </w:r>
      <w:r>
        <w:t>管控</w:t>
      </w:r>
      <w:r>
        <w:rPr>
          <w:rFonts w:hint="eastAsia"/>
        </w:rPr>
        <w:t>或养护措施。</w:t>
      </w:r>
    </w:p>
    <w:tbl>
      <w:tblPr>
        <w:tblStyle w:val="24"/>
        <w:tblW w:w="8306" w:type="dxa"/>
        <w:tblInd w:w="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2729"/>
        <w:gridCol w:w="1339"/>
        <w:gridCol w:w="2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306" w:type="dxa"/>
            <w:gridSpan w:val="4"/>
            <w:tcBorders>
              <w:top w:val="nil"/>
              <w:left w:val="nil"/>
              <w:bottom w:val="single" w:color="auto" w:sz="4" w:space="0"/>
              <w:right w:val="nil"/>
            </w:tcBorders>
            <w:vAlign w:val="center"/>
          </w:tcPr>
          <w:p>
            <w:pPr>
              <w:pStyle w:val="38"/>
            </w:pPr>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t>4.3.27</w:t>
            </w:r>
            <w:r>
              <w:fldChar w:fldCharType="end"/>
            </w:r>
            <w:r>
              <w:t xml:space="preserve"> </w:t>
            </w:r>
            <w:r>
              <w:rPr>
                <w:rFonts w:hint="eastAsia"/>
              </w:rPr>
              <w:t>监测数据超限检查/管控建议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268" w:type="dxa"/>
            <w:tcBorders>
              <w:top w:val="single" w:color="auto" w:sz="4" w:space="0"/>
            </w:tcBorders>
            <w:vAlign w:val="center"/>
          </w:tcPr>
          <w:p>
            <w:pPr>
              <w:widowControl/>
              <w:spacing w:line="240" w:lineRule="auto"/>
              <w:ind w:firstLine="0" w:firstLineChars="0"/>
              <w:jc w:val="center"/>
              <w:rPr>
                <w:rFonts w:cs="Times New Roman"/>
                <w:b/>
                <w:sz w:val="21"/>
                <w:szCs w:val="21"/>
              </w:rPr>
            </w:pPr>
            <w:r>
              <w:rPr>
                <w:rFonts w:hint="eastAsia" w:cs="Times New Roman"/>
                <w:b/>
                <w:sz w:val="21"/>
                <w:szCs w:val="21"/>
              </w:rPr>
              <w:t>监测类别</w:t>
            </w:r>
          </w:p>
        </w:tc>
        <w:tc>
          <w:tcPr>
            <w:tcW w:w="2729" w:type="dxa"/>
            <w:tcBorders>
              <w:top w:val="single" w:color="auto" w:sz="4" w:space="0"/>
            </w:tcBorders>
            <w:vAlign w:val="center"/>
          </w:tcPr>
          <w:p>
            <w:pPr>
              <w:widowControl/>
              <w:spacing w:line="240" w:lineRule="auto"/>
              <w:ind w:firstLine="0" w:firstLineChars="0"/>
              <w:jc w:val="center"/>
              <w:rPr>
                <w:rFonts w:cs="Times New Roman"/>
                <w:b/>
                <w:sz w:val="21"/>
                <w:szCs w:val="21"/>
              </w:rPr>
            </w:pPr>
            <w:r>
              <w:rPr>
                <w:rFonts w:hint="eastAsia" w:cs="Times New Roman"/>
                <w:b/>
                <w:sz w:val="21"/>
                <w:szCs w:val="21"/>
              </w:rPr>
              <w:t>监测内容</w:t>
            </w:r>
          </w:p>
        </w:tc>
        <w:tc>
          <w:tcPr>
            <w:tcW w:w="1339" w:type="dxa"/>
            <w:tcBorders>
              <w:top w:val="single" w:color="auto" w:sz="4" w:space="0"/>
            </w:tcBorders>
            <w:vAlign w:val="center"/>
          </w:tcPr>
          <w:p>
            <w:pPr>
              <w:widowControl/>
              <w:spacing w:line="240" w:lineRule="auto"/>
              <w:ind w:firstLine="0" w:firstLineChars="0"/>
              <w:jc w:val="center"/>
              <w:rPr>
                <w:rFonts w:cs="Times New Roman"/>
                <w:b/>
                <w:sz w:val="21"/>
                <w:szCs w:val="21"/>
              </w:rPr>
            </w:pPr>
            <w:r>
              <w:rPr>
                <w:rFonts w:hint="eastAsia" w:cs="Times New Roman"/>
                <w:b/>
                <w:sz w:val="21"/>
                <w:szCs w:val="21"/>
              </w:rPr>
              <w:t>超限级别</w:t>
            </w:r>
          </w:p>
        </w:tc>
        <w:tc>
          <w:tcPr>
            <w:tcW w:w="2970" w:type="dxa"/>
            <w:tcBorders>
              <w:top w:val="single" w:color="auto" w:sz="4" w:space="0"/>
            </w:tcBorders>
            <w:vAlign w:val="center"/>
          </w:tcPr>
          <w:p>
            <w:pPr>
              <w:widowControl/>
              <w:spacing w:line="240" w:lineRule="auto"/>
              <w:ind w:firstLine="0" w:firstLineChars="0"/>
              <w:jc w:val="center"/>
              <w:rPr>
                <w:rFonts w:cs="Times New Roman"/>
                <w:b/>
                <w:sz w:val="21"/>
                <w:szCs w:val="21"/>
              </w:rPr>
            </w:pPr>
            <w:r>
              <w:rPr>
                <w:rFonts w:hint="eastAsia" w:cs="Times New Roman"/>
                <w:b/>
                <w:sz w:val="21"/>
                <w:szCs w:val="21"/>
              </w:rPr>
              <w:t>检查、</w:t>
            </w:r>
            <w:r>
              <w:rPr>
                <w:rFonts w:cs="Times New Roman"/>
                <w:b/>
                <w:sz w:val="21"/>
                <w:szCs w:val="21"/>
              </w:rPr>
              <w:t>管控</w:t>
            </w:r>
            <w:r>
              <w:rPr>
                <w:rFonts w:hint="eastAsia" w:cs="Times New Roman"/>
                <w:b/>
                <w:sz w:val="21"/>
                <w:szCs w:val="21"/>
              </w:rPr>
              <w:t>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restart"/>
            <w:vAlign w:val="center"/>
          </w:tcPr>
          <w:p>
            <w:pPr>
              <w:widowControl/>
              <w:spacing w:line="240" w:lineRule="auto"/>
              <w:ind w:firstLine="0" w:firstLineChars="0"/>
              <w:jc w:val="center"/>
              <w:rPr>
                <w:rFonts w:cs="Times New Roman"/>
                <w:sz w:val="21"/>
                <w:szCs w:val="21"/>
              </w:rPr>
            </w:pPr>
            <w:r>
              <w:rPr>
                <w:rFonts w:hint="eastAsia" w:cs="Times New Roman"/>
                <w:sz w:val="21"/>
                <w:szCs w:val="21"/>
              </w:rPr>
              <w:t>环境</w:t>
            </w: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构件封闭空间内相对湿度</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一级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提示检查除湿设施是否运转正常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最高温度、最低温度、最大温差</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提示检查伸缩缝等变形装置是否正常运行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结冰</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一级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提示管理部门进行车辆限速、限行和除冰处治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雨量</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一级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提示管理部门注意桥梁拉索是否发生风雨激振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Merge w:val="restart"/>
            <w:vAlign w:val="center"/>
          </w:tcPr>
          <w:p>
            <w:pPr>
              <w:widowControl/>
              <w:spacing w:line="240" w:lineRule="auto"/>
              <w:ind w:firstLine="0" w:firstLineChars="0"/>
              <w:jc w:val="center"/>
              <w:rPr>
                <w:rFonts w:cs="Times New Roman"/>
                <w:sz w:val="21"/>
                <w:szCs w:val="21"/>
              </w:rPr>
            </w:pPr>
            <w:r>
              <w:rPr>
                <w:rFonts w:hint="eastAsia" w:cs="Times New Roman"/>
                <w:sz w:val="21"/>
                <w:szCs w:val="21"/>
              </w:rPr>
              <w:t>雾</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一级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提示车辆限速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Merge w:val="continue"/>
            <w:vAlign w:val="center"/>
          </w:tcPr>
          <w:p>
            <w:pPr>
              <w:widowControl/>
              <w:spacing w:line="240" w:lineRule="auto"/>
              <w:ind w:firstLine="0" w:firstLineChars="0"/>
              <w:jc w:val="center"/>
              <w:rPr>
                <w:rFonts w:cs="Times New Roman"/>
                <w:sz w:val="21"/>
                <w:szCs w:val="21"/>
              </w:rPr>
            </w:pP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提示封桥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restart"/>
            <w:vAlign w:val="center"/>
          </w:tcPr>
          <w:p>
            <w:pPr>
              <w:widowControl/>
              <w:spacing w:line="240" w:lineRule="auto"/>
              <w:ind w:firstLine="0" w:firstLineChars="0"/>
              <w:jc w:val="center"/>
              <w:rPr>
                <w:rFonts w:cs="Times New Roman"/>
                <w:sz w:val="21"/>
                <w:szCs w:val="21"/>
              </w:rPr>
            </w:pPr>
            <w:r>
              <w:rPr>
                <w:rFonts w:hint="eastAsia" w:cs="Times New Roman"/>
                <w:sz w:val="21"/>
                <w:szCs w:val="21"/>
              </w:rPr>
              <w:t>作用</w:t>
            </w: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车辆总重或轴重</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提示检查桥梁主要受力构件的技术状况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人群荷载</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一级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提示疏散人流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混凝土、钢结构构件温度</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一级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提示进行构件使用性检查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风速、风向</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一级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提示封桥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船舶撞击</w:t>
            </w:r>
          </w:p>
        </w:tc>
        <w:tc>
          <w:tcPr>
            <w:tcW w:w="1339" w:type="dxa"/>
            <w:vAlign w:val="center"/>
          </w:tcPr>
          <w:p>
            <w:pPr>
              <w:widowControl/>
              <w:spacing w:line="240" w:lineRule="auto"/>
              <w:ind w:firstLine="0" w:firstLineChars="0"/>
              <w:jc w:val="center"/>
              <w:rPr>
                <w:rFonts w:cs="Times New Roman"/>
                <w:sz w:val="21"/>
                <w:szCs w:val="21"/>
              </w:rPr>
            </w:pPr>
            <w:r>
              <w:rPr>
                <w:rFonts w:hint="eastAsia" w:cs="宋体"/>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提示特殊检查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车辆撞击</w:t>
            </w:r>
          </w:p>
        </w:tc>
        <w:tc>
          <w:tcPr>
            <w:tcW w:w="1339" w:type="dxa"/>
            <w:vAlign w:val="center"/>
          </w:tcPr>
          <w:p>
            <w:pPr>
              <w:widowControl/>
              <w:spacing w:line="240" w:lineRule="auto"/>
              <w:ind w:firstLine="0" w:firstLineChars="0"/>
              <w:jc w:val="center"/>
              <w:rPr>
                <w:rFonts w:cs="Times New Roman"/>
                <w:sz w:val="21"/>
                <w:szCs w:val="21"/>
              </w:rPr>
            </w:pPr>
            <w:r>
              <w:rPr>
                <w:rFonts w:hint="eastAsia" w:cs="宋体"/>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提示专项检查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桥岸地表场地地震动加速度</w:t>
            </w:r>
          </w:p>
        </w:tc>
        <w:tc>
          <w:tcPr>
            <w:tcW w:w="1339" w:type="dxa"/>
            <w:vAlign w:val="center"/>
          </w:tcPr>
          <w:p>
            <w:pPr>
              <w:widowControl/>
              <w:spacing w:line="240" w:lineRule="auto"/>
              <w:ind w:firstLine="0" w:firstLineChars="0"/>
              <w:jc w:val="center"/>
              <w:rPr>
                <w:rFonts w:cs="Times New Roman"/>
                <w:sz w:val="21"/>
                <w:szCs w:val="21"/>
              </w:rPr>
            </w:pPr>
            <w:r>
              <w:rPr>
                <w:rFonts w:hint="eastAsia" w:cs="宋体"/>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提示全桥检查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restart"/>
            <w:vAlign w:val="center"/>
          </w:tcPr>
          <w:p>
            <w:pPr>
              <w:widowControl/>
              <w:spacing w:line="240" w:lineRule="auto"/>
              <w:ind w:firstLine="0" w:firstLineChars="0"/>
              <w:rPr>
                <w:rFonts w:cs="Times New Roman"/>
                <w:sz w:val="21"/>
                <w:szCs w:val="21"/>
              </w:rPr>
            </w:pPr>
            <w:r>
              <w:rPr>
                <w:rFonts w:hint="eastAsia" w:cs="Times New Roman"/>
                <w:sz w:val="21"/>
                <w:szCs w:val="21"/>
              </w:rPr>
              <w:t>结构响应</w:t>
            </w: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主梁竖向位移</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提示全桥检查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主梁横向位移</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提示全桥检查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支座位移、支座反力</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提示检查支座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梁端纵向位移</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提示检查伸缩缝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塔顶偏位</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提示全桥检查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主缆偏位</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提示全桥检查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梁桥高墩墩顶位移</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提示全桥检查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拱桥主拱拱顶位移</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提示全桥检查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Merge w:val="restart"/>
            <w:vAlign w:val="center"/>
          </w:tcPr>
          <w:p>
            <w:pPr>
              <w:widowControl/>
              <w:spacing w:line="240" w:lineRule="auto"/>
              <w:ind w:firstLine="0" w:firstLineChars="0"/>
              <w:jc w:val="center"/>
              <w:rPr>
                <w:rFonts w:cs="Times New Roman"/>
                <w:sz w:val="21"/>
                <w:szCs w:val="21"/>
              </w:rPr>
            </w:pPr>
            <w:r>
              <w:rPr>
                <w:rFonts w:hint="eastAsia" w:cs="Times New Roman"/>
                <w:sz w:val="21"/>
                <w:szCs w:val="21"/>
              </w:rPr>
              <w:t>主梁、索塔、主拱关键截面静应变</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一级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提示检查传感器附近构件裂缝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Merge w:val="continue"/>
            <w:vAlign w:val="center"/>
          </w:tcPr>
          <w:p>
            <w:pPr>
              <w:widowControl/>
              <w:spacing w:line="240" w:lineRule="auto"/>
              <w:ind w:firstLine="0" w:firstLineChars="0"/>
              <w:jc w:val="center"/>
              <w:rPr>
                <w:rFonts w:cs="Times New Roman"/>
                <w:sz w:val="21"/>
                <w:szCs w:val="21"/>
              </w:rPr>
            </w:pP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提示对传感器所在构件进行特殊检查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悬索桥吊索、锚跨索股力、斜拉桥斜拉索、拱桥吊杆（索）、系杆等索力</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提示检查索构件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主梁振动加速度</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提示应对连接构件进行检查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Merge w:val="restart"/>
            <w:vAlign w:val="center"/>
          </w:tcPr>
          <w:p>
            <w:pPr>
              <w:widowControl/>
              <w:spacing w:line="240" w:lineRule="auto"/>
              <w:ind w:firstLine="0" w:firstLineChars="0"/>
              <w:jc w:val="center"/>
              <w:rPr>
                <w:rFonts w:cs="Times New Roman"/>
                <w:sz w:val="21"/>
                <w:szCs w:val="21"/>
              </w:rPr>
            </w:pPr>
            <w:r>
              <w:rPr>
                <w:rFonts w:hint="eastAsia" w:cs="Times New Roman"/>
                <w:sz w:val="21"/>
                <w:szCs w:val="21"/>
              </w:rPr>
              <w:t>悬索桥吊索、斜拉桥斜拉索、拱桥吊杆（索）振动加速度</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一级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提示管理部门注意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Merge w:val="continue"/>
            <w:vAlign w:val="center"/>
          </w:tcPr>
          <w:p>
            <w:pPr>
              <w:widowControl/>
              <w:spacing w:line="240" w:lineRule="auto"/>
              <w:ind w:firstLine="0" w:firstLineChars="0"/>
              <w:jc w:val="center"/>
              <w:rPr>
                <w:rFonts w:cs="Times New Roman"/>
                <w:sz w:val="21"/>
                <w:szCs w:val="21"/>
              </w:rPr>
            </w:pP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提示分析原因并检查减振设施有效性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restart"/>
            <w:vAlign w:val="center"/>
          </w:tcPr>
          <w:p>
            <w:pPr>
              <w:widowControl/>
              <w:spacing w:line="240" w:lineRule="auto"/>
              <w:ind w:firstLine="0" w:firstLineChars="0"/>
              <w:jc w:val="center"/>
              <w:rPr>
                <w:rFonts w:cs="Times New Roman"/>
                <w:sz w:val="21"/>
                <w:szCs w:val="21"/>
              </w:rPr>
            </w:pPr>
            <w:r>
              <w:rPr>
                <w:rFonts w:hint="eastAsia" w:cs="Times New Roman"/>
                <w:sz w:val="21"/>
                <w:szCs w:val="21"/>
              </w:rPr>
              <w:t>结构变化</w:t>
            </w: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基础冲刷</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提示全桥检查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锚碇位移</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提示全桥检查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桥墩沉降</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三级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提示全桥检查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拱脚位移</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提示全桥检查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线形</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提示全桥检查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Merge w:val="restart"/>
            <w:vAlign w:val="center"/>
          </w:tcPr>
          <w:p>
            <w:pPr>
              <w:widowControl/>
              <w:spacing w:line="240" w:lineRule="auto"/>
              <w:ind w:firstLine="0" w:firstLineChars="0"/>
              <w:jc w:val="center"/>
              <w:rPr>
                <w:rFonts w:cs="Times New Roman"/>
                <w:sz w:val="21"/>
                <w:szCs w:val="21"/>
              </w:rPr>
            </w:pPr>
            <w:r>
              <w:rPr>
                <w:rFonts w:hint="eastAsia" w:cs="Times New Roman"/>
                <w:sz w:val="21"/>
                <w:szCs w:val="21"/>
              </w:rPr>
              <w:t>裂缝</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一级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提示管理部门注意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Merge w:val="continue"/>
            <w:vAlign w:val="center"/>
          </w:tcPr>
          <w:p>
            <w:pPr>
              <w:widowControl/>
              <w:spacing w:line="240" w:lineRule="auto"/>
              <w:ind w:firstLine="0" w:firstLineChars="0"/>
              <w:jc w:val="center"/>
              <w:rPr>
                <w:rFonts w:cs="Times New Roman"/>
                <w:sz w:val="21"/>
                <w:szCs w:val="21"/>
              </w:rPr>
            </w:pP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提示对构件进行特殊检查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腐蚀</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提示对腐蚀区进行特殊检查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体外预应力</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提示全桥检查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断丝</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提示进行特殊检查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Merge w:val="restart"/>
            <w:vAlign w:val="center"/>
          </w:tcPr>
          <w:p>
            <w:pPr>
              <w:widowControl/>
              <w:spacing w:line="240" w:lineRule="auto"/>
              <w:ind w:firstLine="0" w:firstLineChars="0"/>
              <w:jc w:val="center"/>
              <w:rPr>
                <w:rFonts w:cs="Times New Roman"/>
                <w:sz w:val="21"/>
                <w:szCs w:val="21"/>
              </w:rPr>
            </w:pPr>
            <w:r>
              <w:rPr>
                <w:rFonts w:hint="eastAsia" w:cs="Times New Roman"/>
                <w:sz w:val="21"/>
                <w:szCs w:val="21"/>
              </w:rPr>
              <w:t>螺栓状态</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一级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提示管理部门注意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Merge w:val="continue"/>
            <w:vAlign w:val="center"/>
          </w:tcPr>
          <w:p>
            <w:pPr>
              <w:widowControl/>
              <w:spacing w:line="240" w:lineRule="auto"/>
              <w:ind w:firstLine="0" w:firstLineChars="0"/>
              <w:jc w:val="center"/>
              <w:rPr>
                <w:rFonts w:cs="Times New Roman"/>
                <w:sz w:val="21"/>
                <w:szCs w:val="21"/>
              </w:rPr>
            </w:pP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提示检查螺栓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索夹滑移</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提示检查索夹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主梁涡振</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一级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提示封桥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restart"/>
            <w:vAlign w:val="center"/>
          </w:tcPr>
          <w:p>
            <w:pPr>
              <w:widowControl/>
              <w:spacing w:line="240" w:lineRule="auto"/>
              <w:ind w:firstLine="0" w:firstLineChars="0"/>
              <w:jc w:val="center"/>
              <w:rPr>
                <w:rFonts w:cs="Times New Roman"/>
                <w:sz w:val="21"/>
                <w:szCs w:val="21"/>
              </w:rPr>
            </w:pPr>
            <w:r>
              <w:rPr>
                <w:rFonts w:hint="eastAsia" w:cs="Times New Roman"/>
                <w:sz w:val="21"/>
                <w:szCs w:val="21"/>
              </w:rPr>
              <w:t>监测数据分析结果</w:t>
            </w:r>
          </w:p>
        </w:tc>
        <w:tc>
          <w:tcPr>
            <w:tcW w:w="2729" w:type="dxa"/>
            <w:vMerge w:val="restart"/>
            <w:vAlign w:val="center"/>
          </w:tcPr>
          <w:p>
            <w:pPr>
              <w:widowControl/>
              <w:spacing w:line="240" w:lineRule="auto"/>
              <w:ind w:firstLine="0" w:firstLineChars="0"/>
              <w:jc w:val="center"/>
              <w:rPr>
                <w:rFonts w:cs="Times New Roman"/>
                <w:sz w:val="21"/>
                <w:szCs w:val="21"/>
              </w:rPr>
            </w:pPr>
            <w:r>
              <w:rPr>
                <w:rFonts w:hint="eastAsia" w:cs="Times New Roman"/>
                <w:sz w:val="21"/>
                <w:szCs w:val="21"/>
              </w:rPr>
              <w:t>钢结构疲劳</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一级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提示管理部门注意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Merge w:val="continue"/>
            <w:vAlign w:val="center"/>
          </w:tcPr>
          <w:p>
            <w:pPr>
              <w:widowControl/>
              <w:spacing w:line="240" w:lineRule="auto"/>
              <w:ind w:firstLine="0" w:firstLineChars="0"/>
              <w:jc w:val="center"/>
              <w:rPr>
                <w:rFonts w:cs="Times New Roman"/>
                <w:sz w:val="21"/>
                <w:szCs w:val="21"/>
              </w:rPr>
            </w:pP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提示检查疲劳裂纹发展情况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塔顶或主缆或主拱偏位</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提示全桥检查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主梁下挠</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提示全桥检查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桥梁沉降</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提示全桥检查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8" w:type="dxa"/>
            <w:vMerge w:val="continue"/>
            <w:vAlign w:val="center"/>
          </w:tcPr>
          <w:p>
            <w:pPr>
              <w:widowControl/>
              <w:spacing w:line="240" w:lineRule="auto"/>
              <w:ind w:firstLine="0" w:firstLineChars="0"/>
              <w:jc w:val="center"/>
              <w:rPr>
                <w:rFonts w:cs="Times New Roman"/>
                <w:sz w:val="21"/>
                <w:szCs w:val="21"/>
              </w:rPr>
            </w:pPr>
          </w:p>
        </w:tc>
        <w:tc>
          <w:tcPr>
            <w:tcW w:w="272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索力基准值</w:t>
            </w:r>
          </w:p>
        </w:tc>
        <w:tc>
          <w:tcPr>
            <w:tcW w:w="133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二级</w:t>
            </w:r>
          </w:p>
        </w:tc>
        <w:tc>
          <w:tcPr>
            <w:tcW w:w="2970"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提示全桥检查</w:t>
            </w:r>
          </w:p>
        </w:tc>
      </w:tr>
    </w:tbl>
    <w:p>
      <w:pPr>
        <w:pStyle w:val="4"/>
        <w:rPr>
          <w:strike/>
        </w:rPr>
      </w:pPr>
      <w:bookmarkStart w:id="25" w:name="_Hlk130547901"/>
      <w:r>
        <w:rPr>
          <w:rFonts w:hint="eastAsia"/>
        </w:rPr>
        <w:t>桥梁结构健康度应包括结构整体健康度和结构构件建康度，等级宜划分为Ⅰ基本完好、Ⅱ轻微异常、Ⅲ中等异常、Ⅳ严重异常四级。</w:t>
      </w:r>
      <w:bookmarkEnd w:id="25"/>
    </w:p>
    <w:tbl>
      <w:tblPr>
        <w:tblStyle w:val="24"/>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2086"/>
        <w:gridCol w:w="4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6" w:type="dxa"/>
            <w:gridSpan w:val="3"/>
            <w:tcBorders>
              <w:top w:val="nil"/>
              <w:left w:val="nil"/>
              <w:bottom w:val="single" w:color="auto" w:sz="4" w:space="0"/>
              <w:right w:val="nil"/>
            </w:tcBorders>
            <w:vAlign w:val="center"/>
          </w:tcPr>
          <w:p>
            <w:pPr>
              <w:pStyle w:val="38"/>
            </w:pPr>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t>4.3.28</w:t>
            </w:r>
            <w:r>
              <w:fldChar w:fldCharType="end"/>
            </w:r>
            <w:r>
              <w:t xml:space="preserve"> </w:t>
            </w:r>
            <w:r>
              <w:rPr>
                <w:rFonts w:hint="eastAsia"/>
              </w:rPr>
              <w:t>桥梁结构健康度等级评定依据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tcBorders>
              <w:top w:val="single" w:color="auto" w:sz="4" w:space="0"/>
            </w:tcBorders>
            <w:vAlign w:val="center"/>
          </w:tcPr>
          <w:p>
            <w:pPr>
              <w:widowControl/>
              <w:spacing w:line="240" w:lineRule="auto"/>
              <w:ind w:firstLine="0" w:firstLineChars="0"/>
              <w:jc w:val="center"/>
              <w:rPr>
                <w:rFonts w:cs="Times New Roman"/>
                <w:b/>
                <w:sz w:val="21"/>
                <w:szCs w:val="21"/>
              </w:rPr>
            </w:pPr>
            <w:r>
              <w:rPr>
                <w:rFonts w:hint="eastAsia" w:cs="Times New Roman"/>
                <w:b/>
                <w:sz w:val="21"/>
                <w:szCs w:val="21"/>
              </w:rPr>
              <w:t>健康度等级</w:t>
            </w:r>
          </w:p>
        </w:tc>
        <w:tc>
          <w:tcPr>
            <w:tcW w:w="2086" w:type="dxa"/>
            <w:tcBorders>
              <w:top w:val="single" w:color="auto" w:sz="4" w:space="0"/>
            </w:tcBorders>
            <w:vAlign w:val="center"/>
          </w:tcPr>
          <w:p>
            <w:pPr>
              <w:widowControl/>
              <w:spacing w:line="240" w:lineRule="auto"/>
              <w:ind w:firstLine="0" w:firstLineChars="0"/>
              <w:jc w:val="center"/>
              <w:rPr>
                <w:rFonts w:cs="Times New Roman"/>
                <w:b/>
                <w:sz w:val="21"/>
                <w:szCs w:val="21"/>
              </w:rPr>
            </w:pPr>
            <w:r>
              <w:rPr>
                <w:rFonts w:hint="eastAsia" w:cs="Times New Roman"/>
                <w:b/>
                <w:sz w:val="21"/>
                <w:szCs w:val="21"/>
              </w:rPr>
              <w:t>结构构件</w:t>
            </w:r>
          </w:p>
        </w:tc>
        <w:tc>
          <w:tcPr>
            <w:tcW w:w="4871" w:type="dxa"/>
            <w:tcBorders>
              <w:top w:val="single" w:color="auto" w:sz="4" w:space="0"/>
            </w:tcBorders>
            <w:vAlign w:val="center"/>
          </w:tcPr>
          <w:p>
            <w:pPr>
              <w:widowControl/>
              <w:spacing w:line="240" w:lineRule="auto"/>
              <w:ind w:firstLine="0" w:firstLineChars="0"/>
              <w:jc w:val="center"/>
              <w:rPr>
                <w:rFonts w:cs="Times New Roman"/>
                <w:b/>
                <w:sz w:val="21"/>
                <w:szCs w:val="21"/>
              </w:rPr>
            </w:pPr>
            <w:r>
              <w:rPr>
                <w:rFonts w:hint="eastAsia" w:cs="Times New Roman"/>
                <w:b/>
                <w:sz w:val="21"/>
                <w:szCs w:val="21"/>
              </w:rPr>
              <w:t>结构整体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Ⅰ基本完好</w:t>
            </w:r>
          </w:p>
        </w:tc>
        <w:tc>
          <w:tcPr>
            <w:tcW w:w="2086" w:type="dxa"/>
            <w:vAlign w:val="center"/>
          </w:tcPr>
          <w:p>
            <w:pPr>
              <w:widowControl/>
              <w:spacing w:line="240" w:lineRule="auto"/>
              <w:ind w:firstLine="0" w:firstLineChars="0"/>
              <w:jc w:val="left"/>
              <w:rPr>
                <w:rFonts w:cs="Times New Roman"/>
                <w:sz w:val="21"/>
                <w:szCs w:val="21"/>
              </w:rPr>
            </w:pPr>
            <w:r>
              <w:rPr>
                <w:rFonts w:hint="eastAsia" w:cs="Times New Roman"/>
                <w:sz w:val="21"/>
                <w:szCs w:val="21"/>
              </w:rPr>
              <w:t>4.3.</w:t>
            </w:r>
            <w:r>
              <w:rPr>
                <w:rFonts w:cs="Times New Roman"/>
                <w:sz w:val="21"/>
                <w:szCs w:val="21"/>
              </w:rPr>
              <w:t>29 1</w:t>
            </w:r>
            <w:r>
              <w:rPr>
                <w:rFonts w:hint="eastAsia" w:cs="Times New Roman"/>
                <w:sz w:val="21"/>
                <w:szCs w:val="21"/>
              </w:rPr>
              <w:t>中所列监测数据无超限</w:t>
            </w:r>
          </w:p>
        </w:tc>
        <w:tc>
          <w:tcPr>
            <w:tcW w:w="4871" w:type="dxa"/>
            <w:vAlign w:val="center"/>
          </w:tcPr>
          <w:p>
            <w:pPr>
              <w:widowControl/>
              <w:spacing w:line="240" w:lineRule="auto"/>
              <w:ind w:firstLine="0" w:firstLineChars="0"/>
              <w:jc w:val="left"/>
              <w:rPr>
                <w:rFonts w:cs="Times New Roman"/>
                <w:sz w:val="21"/>
                <w:szCs w:val="21"/>
              </w:rPr>
            </w:pPr>
            <w:r>
              <w:rPr>
                <w:rFonts w:hint="eastAsia" w:cs="Times New Roman"/>
                <w:sz w:val="21"/>
                <w:szCs w:val="21"/>
              </w:rPr>
              <w:t>4.3.</w:t>
            </w:r>
            <w:r>
              <w:rPr>
                <w:rFonts w:cs="Times New Roman"/>
                <w:sz w:val="21"/>
                <w:szCs w:val="21"/>
              </w:rPr>
              <w:t>29 2</w:t>
            </w:r>
            <w:r>
              <w:rPr>
                <w:rFonts w:hint="eastAsia" w:cs="Times New Roman"/>
                <w:sz w:val="21"/>
                <w:szCs w:val="21"/>
              </w:rPr>
              <w:t>中所列监测数据超限等级全部为一级或无超限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Ⅱ轻微异常</w:t>
            </w:r>
          </w:p>
        </w:tc>
        <w:tc>
          <w:tcPr>
            <w:tcW w:w="2086" w:type="dxa"/>
            <w:vAlign w:val="center"/>
          </w:tcPr>
          <w:p>
            <w:pPr>
              <w:widowControl/>
              <w:spacing w:line="240" w:lineRule="auto"/>
              <w:ind w:firstLine="0" w:firstLineChars="0"/>
              <w:jc w:val="left"/>
              <w:rPr>
                <w:rFonts w:cs="Times New Roman"/>
                <w:sz w:val="21"/>
                <w:szCs w:val="21"/>
              </w:rPr>
            </w:pPr>
            <w:r>
              <w:rPr>
                <w:rFonts w:hint="eastAsia" w:cs="Times New Roman"/>
                <w:sz w:val="21"/>
                <w:szCs w:val="21"/>
              </w:rPr>
              <w:t>4.3.</w:t>
            </w:r>
            <w:r>
              <w:rPr>
                <w:rFonts w:cs="Times New Roman"/>
                <w:sz w:val="21"/>
                <w:szCs w:val="21"/>
              </w:rPr>
              <w:t>29 1</w:t>
            </w:r>
            <w:r>
              <w:rPr>
                <w:rFonts w:hint="eastAsia" w:cs="Times New Roman"/>
                <w:sz w:val="21"/>
                <w:szCs w:val="21"/>
              </w:rPr>
              <w:t>中所列监测数据超限等级一级</w:t>
            </w:r>
          </w:p>
        </w:tc>
        <w:tc>
          <w:tcPr>
            <w:tcW w:w="4871" w:type="dxa"/>
            <w:vAlign w:val="center"/>
          </w:tcPr>
          <w:p>
            <w:pPr>
              <w:widowControl/>
              <w:spacing w:line="240" w:lineRule="auto"/>
              <w:ind w:firstLine="0" w:firstLineChars="0"/>
              <w:jc w:val="left"/>
              <w:rPr>
                <w:rFonts w:cs="Times New Roman"/>
                <w:sz w:val="21"/>
                <w:szCs w:val="21"/>
              </w:rPr>
            </w:pPr>
            <w:r>
              <w:rPr>
                <w:rFonts w:hint="eastAsia" w:cs="Times New Roman"/>
                <w:sz w:val="21"/>
                <w:szCs w:val="21"/>
              </w:rPr>
              <w:t>除塔顶偏位、锚碇位移、拱脚位移之外，4.3.</w:t>
            </w:r>
            <w:r>
              <w:rPr>
                <w:rFonts w:cs="Times New Roman"/>
                <w:sz w:val="21"/>
                <w:szCs w:val="21"/>
              </w:rPr>
              <w:t>29 2</w:t>
            </w:r>
            <w:r>
              <w:rPr>
                <w:rFonts w:hint="eastAsia" w:cs="Times New Roman"/>
                <w:sz w:val="21"/>
                <w:szCs w:val="21"/>
              </w:rPr>
              <w:t>中所列其他监测数据与分析结果超限等级仅有1项为二级、无三级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134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Ⅲ中等异常</w:t>
            </w:r>
          </w:p>
        </w:tc>
        <w:tc>
          <w:tcPr>
            <w:tcW w:w="2086" w:type="dxa"/>
            <w:vAlign w:val="center"/>
          </w:tcPr>
          <w:p>
            <w:pPr>
              <w:widowControl/>
              <w:spacing w:line="240" w:lineRule="auto"/>
              <w:ind w:firstLine="0" w:firstLineChars="0"/>
              <w:jc w:val="left"/>
              <w:rPr>
                <w:rFonts w:cs="Times New Roman"/>
                <w:sz w:val="21"/>
                <w:szCs w:val="21"/>
              </w:rPr>
            </w:pPr>
            <w:r>
              <w:rPr>
                <w:rFonts w:hint="eastAsia" w:cs="Times New Roman"/>
                <w:sz w:val="21"/>
                <w:szCs w:val="21"/>
              </w:rPr>
              <w:t>4.3.</w:t>
            </w:r>
            <w:r>
              <w:rPr>
                <w:rFonts w:cs="Times New Roman"/>
                <w:sz w:val="21"/>
                <w:szCs w:val="21"/>
              </w:rPr>
              <w:t>29 1</w:t>
            </w:r>
            <w:r>
              <w:rPr>
                <w:rFonts w:hint="eastAsia" w:cs="Times New Roman"/>
                <w:sz w:val="21"/>
                <w:szCs w:val="21"/>
              </w:rPr>
              <w:t>中所列监测数据超限等级二级</w:t>
            </w:r>
          </w:p>
        </w:tc>
        <w:tc>
          <w:tcPr>
            <w:tcW w:w="4871" w:type="dxa"/>
            <w:vAlign w:val="center"/>
          </w:tcPr>
          <w:p>
            <w:pPr>
              <w:widowControl/>
              <w:spacing w:line="240" w:lineRule="auto"/>
              <w:ind w:firstLine="0" w:firstLineChars="0"/>
              <w:jc w:val="left"/>
              <w:rPr>
                <w:rFonts w:cs="Times New Roman"/>
                <w:sz w:val="21"/>
                <w:szCs w:val="21"/>
              </w:rPr>
            </w:pPr>
            <w:r>
              <w:rPr>
                <w:rFonts w:hint="eastAsia" w:cs="Times New Roman"/>
                <w:sz w:val="21"/>
                <w:szCs w:val="21"/>
              </w:rPr>
              <w:t>4.3.</w:t>
            </w:r>
            <w:r>
              <w:rPr>
                <w:rFonts w:cs="Times New Roman"/>
                <w:sz w:val="21"/>
                <w:szCs w:val="21"/>
              </w:rPr>
              <w:t>29 2</w:t>
            </w:r>
            <w:r>
              <w:rPr>
                <w:rFonts w:hint="eastAsia" w:cs="Times New Roman"/>
                <w:sz w:val="21"/>
                <w:szCs w:val="21"/>
              </w:rPr>
              <w:t>中所列监测数据与分析结果超限等级出现多项（2项及以上）二级或1项三级；或当塔顶偏位、锚碇位移、拱脚位移出现1项或以上二级；或多项构件健康度中等异常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9" w:type="dxa"/>
            <w:vAlign w:val="center"/>
          </w:tcPr>
          <w:p>
            <w:pPr>
              <w:widowControl/>
              <w:spacing w:line="240" w:lineRule="auto"/>
              <w:ind w:firstLine="0" w:firstLineChars="0"/>
              <w:jc w:val="center"/>
              <w:rPr>
                <w:rFonts w:cs="Times New Roman"/>
                <w:sz w:val="21"/>
                <w:szCs w:val="21"/>
              </w:rPr>
            </w:pPr>
            <w:r>
              <w:rPr>
                <w:rFonts w:hint="eastAsia" w:cs="Times New Roman"/>
                <w:sz w:val="21"/>
                <w:szCs w:val="21"/>
              </w:rPr>
              <w:t>Ⅳ严重异常</w:t>
            </w:r>
          </w:p>
        </w:tc>
        <w:tc>
          <w:tcPr>
            <w:tcW w:w="2086" w:type="dxa"/>
            <w:vAlign w:val="center"/>
          </w:tcPr>
          <w:p>
            <w:pPr>
              <w:widowControl/>
              <w:spacing w:line="240" w:lineRule="auto"/>
              <w:ind w:firstLine="0" w:firstLineChars="0"/>
              <w:jc w:val="left"/>
              <w:rPr>
                <w:rFonts w:cs="Times New Roman"/>
                <w:sz w:val="21"/>
                <w:szCs w:val="21"/>
              </w:rPr>
            </w:pPr>
            <w:r>
              <w:rPr>
                <w:rFonts w:hint="eastAsia" w:cs="Times New Roman"/>
                <w:sz w:val="21"/>
                <w:szCs w:val="21"/>
              </w:rPr>
              <w:t>4.3.</w:t>
            </w:r>
            <w:r>
              <w:rPr>
                <w:rFonts w:cs="Times New Roman"/>
                <w:sz w:val="21"/>
                <w:szCs w:val="21"/>
              </w:rPr>
              <w:t>29 1</w:t>
            </w:r>
            <w:r>
              <w:rPr>
                <w:rFonts w:hint="eastAsia" w:cs="Times New Roman"/>
                <w:sz w:val="21"/>
                <w:szCs w:val="21"/>
              </w:rPr>
              <w:t>中所列监测数据超限等级三级</w:t>
            </w:r>
          </w:p>
        </w:tc>
        <w:tc>
          <w:tcPr>
            <w:tcW w:w="4871" w:type="dxa"/>
            <w:vAlign w:val="center"/>
          </w:tcPr>
          <w:p>
            <w:pPr>
              <w:widowControl/>
              <w:spacing w:line="240" w:lineRule="auto"/>
              <w:ind w:firstLine="0" w:firstLineChars="0"/>
              <w:jc w:val="left"/>
              <w:rPr>
                <w:rFonts w:cs="Times New Roman"/>
                <w:sz w:val="21"/>
                <w:szCs w:val="21"/>
              </w:rPr>
            </w:pPr>
            <w:r>
              <w:rPr>
                <w:rFonts w:hint="eastAsia" w:cs="Times New Roman"/>
                <w:sz w:val="21"/>
                <w:szCs w:val="21"/>
              </w:rPr>
              <w:t>4.3.</w:t>
            </w:r>
            <w:r>
              <w:rPr>
                <w:rFonts w:cs="Times New Roman"/>
                <w:sz w:val="21"/>
                <w:szCs w:val="21"/>
              </w:rPr>
              <w:t>29 2</w:t>
            </w:r>
            <w:r>
              <w:rPr>
                <w:rFonts w:hint="eastAsia" w:cs="Times New Roman"/>
                <w:sz w:val="21"/>
                <w:szCs w:val="21"/>
              </w:rPr>
              <w:t>中所列监测数据与分析结果超限等级出现多项三级；或多项构件健康度严重异常</w:t>
            </w:r>
          </w:p>
        </w:tc>
      </w:tr>
    </w:tbl>
    <w:p>
      <w:pPr>
        <w:ind w:firstLine="480"/>
      </w:pPr>
      <w:bookmarkStart w:id="26" w:name="_Hlk130547912"/>
    </w:p>
    <w:p>
      <w:pPr>
        <w:pStyle w:val="4"/>
      </w:pPr>
      <w:r>
        <w:rPr>
          <w:rFonts w:hint="eastAsia"/>
        </w:rPr>
        <w:t>宜通过监测数据分析、并与超限阈值比较，进行桥梁结构健康度评估，评估参数应符合</w:t>
      </w:r>
      <w:r>
        <w:t>下列规定</w:t>
      </w:r>
      <w:r>
        <w:rPr>
          <w:rFonts w:hint="eastAsia"/>
        </w:rPr>
        <w:t>：</w:t>
      </w:r>
    </w:p>
    <w:p>
      <w:pPr>
        <w:ind w:firstLine="480"/>
      </w:pPr>
      <w:r>
        <w:t>1</w:t>
      </w:r>
      <w:r>
        <w:rPr>
          <w:rFonts w:hint="eastAsia"/>
        </w:rPr>
        <w:t>构件健康度表征评估参数：采用梁端纵向位移、关键截面应变、索力、支座反力，索振动、裂缝、断丝、螺栓状态、索夹滑移、疲劳等监测数据。</w:t>
      </w:r>
    </w:p>
    <w:p>
      <w:pPr>
        <w:ind w:firstLine="480"/>
      </w:pPr>
      <w:r>
        <w:t xml:space="preserve">2 </w:t>
      </w:r>
      <w:r>
        <w:rPr>
          <w:rFonts w:hint="eastAsia"/>
        </w:rPr>
        <w:t>结构整体健康度表征评估参数：采用主梁竖向和横向位移、塔顶偏位、主缆偏位、支座位移、高墩墩顶位移、锚淀位移、拱脚位移、基础冲刷深度、锚跨索股力、预应力、主梁振动等监测数据，以及塔顶或主缆或主拱永久偏位、主梁持续下挠、桥墩沉降、索力基准值变化、剔除环境影响的桥梁主要频率变化等分析结果。</w:t>
      </w:r>
    </w:p>
    <w:bookmarkEnd w:id="26"/>
    <w:p>
      <w:pPr>
        <w:pStyle w:val="4"/>
        <w:keepNext w:val="0"/>
        <w:keepLines w:val="0"/>
      </w:pPr>
      <w:r>
        <w:rPr>
          <w:rFonts w:hint="eastAsia"/>
        </w:rPr>
        <w:t>也可通过损伤识别和模型修正建立可靠的有限元模型，将计算的结构响应和结构变化结果与超限阈值进行对比，进行桥梁结构健康度评估。</w:t>
      </w:r>
    </w:p>
    <w:p>
      <w:pPr>
        <w:pStyle w:val="4"/>
        <w:keepNext w:val="0"/>
        <w:keepLines w:val="0"/>
      </w:pPr>
      <w:r>
        <w:rPr>
          <w:rFonts w:hint="eastAsia"/>
        </w:rPr>
        <w:t>当构件健康度或结构整体健康度为Ⅲ级中等异常或Ⅳ级严重异常时，应进行专家研判。</w:t>
      </w:r>
    </w:p>
    <w:p>
      <w:pPr>
        <w:pStyle w:val="4"/>
        <w:keepNext w:val="0"/>
        <w:keepLines w:val="0"/>
      </w:pPr>
      <w:r>
        <w:rPr>
          <w:rFonts w:hint="eastAsia"/>
        </w:rPr>
        <w:t>宜根据累积的历史监测数据统计分析、对比分析和趋势性分析结果、桥梁定期检测（查）结果，并与超限阈值比较，进行结构整体健康度评估。</w:t>
      </w:r>
    </w:p>
    <w:p>
      <w:pPr>
        <w:pStyle w:val="4"/>
        <w:keepNext w:val="0"/>
        <w:keepLines w:val="0"/>
      </w:pPr>
      <w:r>
        <w:rPr>
          <w:rFonts w:hint="eastAsia"/>
        </w:rPr>
        <w:t>宜通过损伤识别和模型修正的有限元模型进行结构计算分析，并根据分析结果对桥梁健康状况评估结果进行修正。</w:t>
      </w:r>
    </w:p>
    <w:p>
      <w:pPr>
        <w:pStyle w:val="4"/>
        <w:keepNext w:val="0"/>
        <w:keepLines w:val="0"/>
      </w:pPr>
      <w:r>
        <w:rPr>
          <w:rFonts w:hint="eastAsia"/>
        </w:rPr>
        <w:t>当桥梁健康状况评估结果与《城市桥梁养护技术标准》CJJ 99、</w:t>
      </w:r>
      <w:r>
        <w:t>《</w:t>
      </w:r>
      <w:r>
        <w:rPr>
          <w:rFonts w:hint="eastAsia"/>
        </w:rPr>
        <w:t>公路桥梁</w:t>
      </w:r>
      <w:r>
        <w:t>技术状况评定</w:t>
      </w:r>
      <w:r>
        <w:rPr>
          <w:rFonts w:hint="eastAsia"/>
        </w:rPr>
        <w:t>标准</w:t>
      </w:r>
      <w:r>
        <w:t>》</w:t>
      </w:r>
      <w:r>
        <w:rPr>
          <w:rFonts w:hint="eastAsia"/>
        </w:rPr>
        <w:t xml:space="preserve">JTG/T </w:t>
      </w:r>
      <w:r>
        <w:t>H21</w:t>
      </w:r>
      <w:r>
        <w:rPr>
          <w:rFonts w:hint="eastAsia"/>
        </w:rPr>
        <w:t>评定的技术状况结果不一致时，可选用最不利评估结果。</w:t>
      </w:r>
    </w:p>
    <w:p>
      <w:pPr>
        <w:pStyle w:val="4"/>
        <w:keepNext w:val="0"/>
        <w:keepLines w:val="0"/>
      </w:pPr>
      <w:r>
        <w:rPr>
          <w:rFonts w:hint="eastAsia"/>
        </w:rPr>
        <w:t>当有监测数据外的其他源数据时，应考虑多源数据的充分融合，动态调整预警阈值和预警策略，可基于多数据源进行结构健康度动态评估。</w:t>
      </w:r>
    </w:p>
    <w:p>
      <w:pPr>
        <w:pStyle w:val="4"/>
      </w:pPr>
      <w:r>
        <w:rPr>
          <w:rFonts w:hint="eastAsia"/>
        </w:rPr>
        <w:t>应定期</w:t>
      </w:r>
      <w:r>
        <w:t>对桥梁日常运营中监测到的环境、作用、响应和变化等监测数据进行分析，形成数据分析报告，用于桥梁健康状态评估。</w:t>
      </w:r>
      <w:r>
        <w:rPr>
          <w:rFonts w:hint="eastAsia"/>
        </w:rPr>
        <w:t>数据分析</w:t>
      </w:r>
      <w:r>
        <w:t>报告</w:t>
      </w:r>
      <w:r>
        <w:rPr>
          <w:rFonts w:hint="eastAsia"/>
        </w:rPr>
        <w:t>可采用季报和年报的形式，宜包含下列内容：</w:t>
      </w:r>
    </w:p>
    <w:p>
      <w:pPr>
        <w:ind w:firstLine="480"/>
      </w:pPr>
      <w:r>
        <w:rPr>
          <w:rFonts w:hint="eastAsia"/>
        </w:rPr>
        <w:t>1 项目概述</w:t>
      </w:r>
    </w:p>
    <w:p>
      <w:pPr>
        <w:ind w:firstLine="480"/>
      </w:pPr>
      <w:r>
        <w:rPr>
          <w:rFonts w:hint="eastAsia"/>
        </w:rPr>
        <w:t>2 监测目的</w:t>
      </w:r>
    </w:p>
    <w:p>
      <w:pPr>
        <w:ind w:firstLine="480"/>
      </w:pPr>
      <w:r>
        <w:rPr>
          <w:rFonts w:hint="eastAsia"/>
        </w:rPr>
        <w:t>3 监测依据</w:t>
      </w:r>
    </w:p>
    <w:p>
      <w:pPr>
        <w:ind w:firstLine="480"/>
      </w:pPr>
      <w:r>
        <w:rPr>
          <w:rFonts w:hint="eastAsia"/>
        </w:rPr>
        <w:t>4 监测内容、监测方法</w:t>
      </w:r>
    </w:p>
    <w:p>
      <w:pPr>
        <w:ind w:firstLine="480"/>
      </w:pPr>
      <w:r>
        <w:rPr>
          <w:rFonts w:hint="eastAsia"/>
        </w:rPr>
        <w:t>5 监测仪器及精度</w:t>
      </w:r>
    </w:p>
    <w:p>
      <w:pPr>
        <w:ind w:firstLine="480"/>
      </w:pPr>
      <w:r>
        <w:rPr>
          <w:rFonts w:hint="eastAsia"/>
        </w:rPr>
        <w:t>6 供电及数据传输方式</w:t>
      </w:r>
    </w:p>
    <w:p>
      <w:pPr>
        <w:ind w:firstLine="480"/>
      </w:pPr>
      <w:r>
        <w:rPr>
          <w:rFonts w:hint="eastAsia"/>
        </w:rPr>
        <w:t>7 监测频率</w:t>
      </w:r>
    </w:p>
    <w:p>
      <w:pPr>
        <w:ind w:firstLine="480"/>
      </w:pPr>
      <w:r>
        <w:rPr>
          <w:rFonts w:hint="eastAsia"/>
        </w:rPr>
        <w:t>8 构件编号、测点编号规则</w:t>
      </w:r>
    </w:p>
    <w:p>
      <w:pPr>
        <w:ind w:firstLine="480"/>
      </w:pPr>
      <w:r>
        <w:rPr>
          <w:rFonts w:hint="eastAsia"/>
        </w:rPr>
        <w:t>9 测点布设</w:t>
      </w:r>
    </w:p>
    <w:p>
      <w:pPr>
        <w:ind w:firstLine="480"/>
      </w:pPr>
      <w:r>
        <w:rPr>
          <w:rFonts w:hint="eastAsia"/>
        </w:rPr>
        <w:t>10 软硬件维护情况</w:t>
      </w:r>
    </w:p>
    <w:p>
      <w:pPr>
        <w:ind w:firstLine="480"/>
      </w:pPr>
      <w:r>
        <w:rPr>
          <w:rFonts w:hint="eastAsia"/>
        </w:rPr>
        <w:t>11 设备完整率</w:t>
      </w:r>
    </w:p>
    <w:p>
      <w:pPr>
        <w:ind w:firstLine="480"/>
      </w:pPr>
      <w:r>
        <w:rPr>
          <w:rFonts w:hint="eastAsia"/>
        </w:rPr>
        <w:t>12 数据完好率</w:t>
      </w:r>
    </w:p>
    <w:p>
      <w:pPr>
        <w:ind w:firstLine="480"/>
      </w:pPr>
      <w:r>
        <w:rPr>
          <w:rFonts w:hint="eastAsia"/>
        </w:rPr>
        <w:t>13 突发事件情况</w:t>
      </w:r>
    </w:p>
    <w:p>
      <w:pPr>
        <w:ind w:firstLine="480"/>
      </w:pPr>
      <w:r>
        <w:rPr>
          <w:rFonts w:hint="eastAsia"/>
        </w:rPr>
        <w:t>14 监测数据分析方法、分析结果</w:t>
      </w:r>
    </w:p>
    <w:p>
      <w:pPr>
        <w:ind w:firstLine="480"/>
      </w:pPr>
      <w:r>
        <w:rPr>
          <w:rFonts w:hint="eastAsia"/>
        </w:rPr>
        <w:t>15 结构健康度评估</w:t>
      </w:r>
    </w:p>
    <w:p>
      <w:pPr>
        <w:ind w:firstLine="480"/>
      </w:pPr>
      <w:r>
        <w:rPr>
          <w:rFonts w:hint="eastAsia"/>
        </w:rPr>
        <w:t>16 结论及建议</w:t>
      </w:r>
    </w:p>
    <w:p>
      <w:pPr>
        <w:ind w:firstLine="480"/>
      </w:pPr>
      <w:r>
        <w:rPr>
          <w:rFonts w:hint="eastAsia"/>
        </w:rPr>
        <w:t>季报的数据分析内容宜包括：监测变量的季度内统计分析及其超越监测系统报警值的数量、比例、位置和时间，监测变量的季度内变化趋势，模态参数分析，相关性分析。</w:t>
      </w:r>
    </w:p>
    <w:p>
      <w:pPr>
        <w:ind w:firstLine="480"/>
      </w:pPr>
      <w:r>
        <w:rPr>
          <w:rFonts w:hint="eastAsia"/>
        </w:rPr>
        <w:t>年报的数据分析内容宜包括：监测变量的年内统计分析及其超越监测系统报警值的数量、比例、位置和时间，监测变量的年内变化趋势，模态参数分析，相关性分析，疲劳分析等。</w:t>
      </w:r>
    </w:p>
    <w:p>
      <w:pPr>
        <w:pStyle w:val="4"/>
      </w:pPr>
      <w:r>
        <w:rPr>
          <w:rFonts w:hint="eastAsia"/>
        </w:rPr>
        <w:t>桥梁在遭受涡振、强风、台风，悬索桥吊索、斜拉桥斜拉索、拱桥吊杆（索）等异常振动，地震、车辆超载、船撞、火灾等特殊事件时，应进行特殊事件数据分析和评估结构健康度，必要时应组织专家研判，形成专项分析报告，辅助应急管理措施决策。</w:t>
      </w:r>
    </w:p>
    <w:p>
      <w:pPr>
        <w:pStyle w:val="4"/>
      </w:pPr>
      <w:r>
        <w:rPr>
          <w:rFonts w:hint="eastAsia"/>
        </w:rPr>
        <w:t>涡振应急管理应符合下列规定：</w:t>
      </w:r>
    </w:p>
    <w:p>
      <w:pPr>
        <w:ind w:firstLine="480"/>
      </w:pPr>
      <w:r>
        <w:rPr>
          <w:rFonts w:hint="eastAsia"/>
        </w:rPr>
        <w:t>1</w:t>
      </w:r>
      <w:r>
        <w:t xml:space="preserve"> </w:t>
      </w:r>
      <w:r>
        <w:rPr>
          <w:rFonts w:hint="eastAsia"/>
        </w:rPr>
        <w:t>宜采用10</w:t>
      </w:r>
      <w:r>
        <w:t xml:space="preserve"> </w:t>
      </w:r>
      <w:r>
        <w:rPr>
          <w:rFonts w:hint="eastAsia"/>
        </w:rPr>
        <w:t>min加速度均方根值</w:t>
      </w:r>
      <w:r>
        <w:rPr>
          <w:rFonts w:hint="eastAsia"/>
          <w:i/>
        </w:rPr>
        <w:t>S</w:t>
      </w:r>
      <w:r>
        <w:rPr>
          <w:i/>
          <w:vertAlign w:val="subscript"/>
        </w:rPr>
        <w:t>a</w:t>
      </w:r>
      <w:r>
        <w:rPr>
          <w:rFonts w:hint="eastAsia"/>
        </w:rPr>
        <w:t>和振动能量比因子</w:t>
      </w:r>
      <w:r>
        <w:rPr>
          <w:rFonts w:hint="eastAsia"/>
          <w:i/>
        </w:rPr>
        <w:t>R</w:t>
      </w:r>
      <w:r>
        <w:rPr>
          <w:rFonts w:hint="eastAsia"/>
        </w:rPr>
        <w:t>作为涡振判定指标，也可补充其他参数。</w:t>
      </w:r>
      <w:r>
        <w:rPr>
          <w:i/>
        </w:rPr>
        <w:t>S</w:t>
      </w:r>
      <w:r>
        <w:rPr>
          <w:i/>
          <w:vertAlign w:val="subscript"/>
        </w:rPr>
        <w:t>a</w:t>
      </w:r>
      <w:r>
        <w:rPr>
          <w:rFonts w:hint="eastAsia"/>
        </w:rPr>
        <w:t>和</w:t>
      </w:r>
      <w:r>
        <w:rPr>
          <w:i/>
        </w:rPr>
        <w:t>R</w:t>
      </w:r>
      <w:r>
        <w:rPr>
          <w:rFonts w:hint="eastAsia"/>
        </w:rPr>
        <w:t>按公式（</w:t>
      </w:r>
      <w:r>
        <w:t>4.3.</w:t>
      </w:r>
      <w:r>
        <w:rPr>
          <w:rFonts w:hint="eastAsia"/>
        </w:rPr>
        <w:t>4</w:t>
      </w:r>
      <w:r>
        <w:t>0-1</w:t>
      </w:r>
      <w:r>
        <w:rPr>
          <w:rFonts w:hint="eastAsia"/>
        </w:rPr>
        <w:t>）和公式（4.3.4</w:t>
      </w:r>
      <w:r>
        <w:t>0</w:t>
      </w:r>
      <w:r>
        <w:rPr>
          <w:rFonts w:hint="eastAsia"/>
        </w:rPr>
        <w:t>-2）计算：</w:t>
      </w:r>
    </w:p>
    <w:tbl>
      <w:tblPr>
        <w:tblStyle w:val="24"/>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65"/>
        <w:gridCol w:w="2765"/>
        <w:gridCol w:w="2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vAlign w:val="center"/>
          </w:tcPr>
          <w:p>
            <w:pPr>
              <w:ind w:firstLine="0" w:firstLineChars="0"/>
              <w:jc w:val="center"/>
            </w:pPr>
          </w:p>
        </w:tc>
        <w:tc>
          <w:tcPr>
            <w:tcW w:w="2765" w:type="dxa"/>
            <w:vAlign w:val="center"/>
          </w:tcPr>
          <w:p>
            <w:pPr>
              <w:ind w:firstLine="0" w:firstLineChars="0"/>
              <w:jc w:val="center"/>
            </w:pPr>
            <w:r>
              <w:rPr>
                <w:rFonts w:hint="eastAsia" w:cs="Times New Roman"/>
                <w:position w:val="-30"/>
              </w:rPr>
              <w:object>
                <v:shape id="_x0000_i1029" o:spt="75" type="#_x0000_t75" style="height:36pt;width:72pt;" o:ole="t" filled="f" o:preferrelative="t" stroked="f" coordsize="21600,21600">
                  <v:path/>
                  <v:fill on="f" focussize="0,0"/>
                  <v:stroke on="f" joinstyle="miter"/>
                  <v:imagedata r:id="rId24" o:title=""/>
                  <o:lock v:ext="edit" aspectratio="t"/>
                  <w10:wrap type="none"/>
                  <w10:anchorlock/>
                </v:shape>
                <o:OLEObject Type="Embed" ProgID="Equation.3" ShapeID="_x0000_i1029" DrawAspect="Content" ObjectID="_1468075729" r:id="rId23">
                  <o:LockedField>false</o:LockedField>
                </o:OLEObject>
              </w:object>
            </w:r>
          </w:p>
        </w:tc>
        <w:tc>
          <w:tcPr>
            <w:tcW w:w="2766" w:type="dxa"/>
            <w:vAlign w:val="center"/>
          </w:tcPr>
          <w:p>
            <w:pPr>
              <w:ind w:firstLine="0" w:firstLineChars="0"/>
              <w:jc w:val="right"/>
            </w:pPr>
            <w:r>
              <w:rPr>
                <w:rFonts w:hint="eastAsia"/>
              </w:rPr>
              <w:t>（</w:t>
            </w:r>
            <w:r>
              <w:fldChar w:fldCharType="begin"/>
            </w:r>
            <w:r>
              <w:instrText xml:space="preserve"> STYLEREF 3 \s </w:instrText>
            </w:r>
            <w:r>
              <w:fldChar w:fldCharType="separate"/>
            </w:r>
            <w:r>
              <w:t>4.3.40</w:t>
            </w:r>
            <w:r>
              <w:fldChar w:fldCharType="end"/>
            </w:r>
            <w:r>
              <w:noBreakHyphen/>
            </w:r>
            <w:r>
              <w:fldChar w:fldCharType="begin"/>
            </w:r>
            <w:r>
              <w:instrText xml:space="preserve"> SEQ 公式 \* ARABIC \s 3 </w:instrText>
            </w:r>
            <w:r>
              <w:fldChar w:fldCharType="separate"/>
            </w:r>
            <w:r>
              <w:t>1</w:t>
            </w:r>
            <w:r>
              <w:fldChar w:fldCharType="end"/>
            </w:r>
            <w:r>
              <w:rPr>
                <w:rFonts w:hint="eastAsia"/>
              </w:rPr>
              <w:t>）</w:t>
            </w:r>
          </w:p>
        </w:tc>
      </w:tr>
    </w:tbl>
    <w:p>
      <w:pPr>
        <w:ind w:firstLine="0" w:firstLineChars="0"/>
      </w:pPr>
      <w:r>
        <w:rPr>
          <w:rFonts w:hint="eastAsia"/>
        </w:rPr>
        <w:t>式中：</w:t>
      </w:r>
    </w:p>
    <w:p>
      <w:pPr>
        <w:ind w:firstLine="480"/>
      </w:pPr>
      <w:r>
        <w:rPr>
          <w:i/>
        </w:rPr>
        <w:t>S</w:t>
      </w:r>
      <w:r>
        <w:rPr>
          <w:i/>
          <w:vertAlign w:val="subscript"/>
        </w:rPr>
        <w:t>a</w:t>
      </w:r>
      <w:r>
        <w:rPr>
          <w:rFonts w:hint="eastAsia"/>
        </w:rPr>
        <w:t>—加速度均方根值，单位为米每平方秒（m/s</w:t>
      </w:r>
      <w:r>
        <w:rPr>
          <w:vertAlign w:val="superscript"/>
        </w:rPr>
        <w:t>2</w:t>
      </w:r>
      <w:r>
        <w:rPr>
          <w:rFonts w:hint="eastAsia"/>
        </w:rPr>
        <w:t>）；</w:t>
      </w:r>
    </w:p>
    <w:p>
      <w:pPr>
        <w:ind w:firstLine="480"/>
      </w:pPr>
      <w:r>
        <w:rPr>
          <w:i/>
        </w:rPr>
        <w:t>a</w:t>
      </w:r>
      <w:r>
        <w:rPr>
          <w:i/>
          <w:vertAlign w:val="subscript"/>
        </w:rPr>
        <w:t>i</w:t>
      </w:r>
      <w:r>
        <w:rPr>
          <w:rFonts w:hint="eastAsia"/>
        </w:rPr>
        <w:t>—主梁振动加速度，单位为米每平方秒（m/s</w:t>
      </w:r>
      <w:r>
        <w:rPr>
          <w:vertAlign w:val="superscript"/>
        </w:rPr>
        <w:t>2</w:t>
      </w:r>
      <w:r>
        <w:rPr>
          <w:rFonts w:hint="eastAsia"/>
        </w:rPr>
        <w:t>）；</w:t>
      </w:r>
    </w:p>
    <w:p>
      <w:pPr>
        <w:ind w:firstLine="480"/>
      </w:pPr>
      <w:r>
        <w:rPr>
          <w:i/>
        </w:rPr>
        <w:t>N</w:t>
      </w:r>
      <w:r>
        <w:rPr>
          <w:rFonts w:hint="eastAsia"/>
        </w:rPr>
        <w:t>—10min加速度采样点数。</w:t>
      </w:r>
    </w:p>
    <w:p>
      <w:pPr>
        <w:ind w:firstLine="0" w:firstLineChars="0"/>
      </w:pPr>
    </w:p>
    <w:tbl>
      <w:tblPr>
        <w:tblStyle w:val="24"/>
        <w:tblW w:w="8296"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65"/>
        <w:gridCol w:w="2765"/>
        <w:gridCol w:w="2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vAlign w:val="center"/>
          </w:tcPr>
          <w:p>
            <w:pPr>
              <w:ind w:firstLine="0" w:firstLineChars="0"/>
              <w:jc w:val="center"/>
            </w:pPr>
          </w:p>
        </w:tc>
        <w:tc>
          <w:tcPr>
            <w:tcW w:w="2765" w:type="dxa"/>
            <w:vAlign w:val="center"/>
          </w:tcPr>
          <w:p>
            <w:pPr>
              <w:ind w:firstLine="0" w:firstLineChars="0"/>
              <w:jc w:val="center"/>
            </w:pPr>
            <w:r>
              <w:rPr>
                <w:rFonts w:hint="eastAsia" w:cs="Times New Roman"/>
                <w:position w:val="-30"/>
              </w:rPr>
              <w:object>
                <v:shape id="_x0000_i1030" o:spt="75" type="#_x0000_t75" style="height:36pt;width:36pt;" o:ole="t" filled="f" o:preferrelative="t" stroked="f" coordsize="21600,21600">
                  <v:path/>
                  <v:fill on="f" focussize="0,0"/>
                  <v:stroke on="f" joinstyle="miter"/>
                  <v:imagedata r:id="rId26" o:title=""/>
                  <o:lock v:ext="edit" aspectratio="t"/>
                  <w10:wrap type="none"/>
                  <w10:anchorlock/>
                </v:shape>
                <o:OLEObject Type="Embed" ProgID="Equation.3" ShapeID="_x0000_i1030" DrawAspect="Content" ObjectID="_1468075730" r:id="rId25">
                  <o:LockedField>false</o:LockedField>
                </o:OLEObject>
              </w:object>
            </w:r>
          </w:p>
        </w:tc>
        <w:tc>
          <w:tcPr>
            <w:tcW w:w="2766" w:type="dxa"/>
            <w:vAlign w:val="center"/>
          </w:tcPr>
          <w:p>
            <w:pPr>
              <w:ind w:firstLine="0" w:firstLineChars="0"/>
              <w:jc w:val="right"/>
            </w:pPr>
            <w:r>
              <w:rPr>
                <w:rFonts w:hint="eastAsia"/>
              </w:rPr>
              <w:t>（</w:t>
            </w:r>
            <w:r>
              <w:fldChar w:fldCharType="begin"/>
            </w:r>
            <w:r>
              <w:instrText xml:space="preserve"> STYLEREF 3 \s </w:instrText>
            </w:r>
            <w:r>
              <w:fldChar w:fldCharType="separate"/>
            </w:r>
            <w:r>
              <w:t>4.3.40</w:t>
            </w:r>
            <w:r>
              <w:fldChar w:fldCharType="end"/>
            </w:r>
            <w:r>
              <w:noBreakHyphen/>
            </w:r>
            <w:r>
              <w:fldChar w:fldCharType="begin"/>
            </w:r>
            <w:r>
              <w:instrText xml:space="preserve"> SEQ 公式 \* ARABIC \s 3 </w:instrText>
            </w:r>
            <w:r>
              <w:fldChar w:fldCharType="separate"/>
            </w:r>
            <w:r>
              <w:t>2</w:t>
            </w:r>
            <w:r>
              <w:fldChar w:fldCharType="end"/>
            </w:r>
            <w:r>
              <w:rPr>
                <w:rFonts w:hint="eastAsia"/>
              </w:rPr>
              <w:t>）</w:t>
            </w:r>
          </w:p>
        </w:tc>
      </w:tr>
    </w:tbl>
    <w:p>
      <w:pPr>
        <w:ind w:firstLine="0" w:firstLineChars="0"/>
      </w:pPr>
      <w:r>
        <w:rPr>
          <w:rFonts w:hint="eastAsia"/>
        </w:rPr>
        <w:t>式中：</w:t>
      </w:r>
    </w:p>
    <w:p>
      <w:pPr>
        <w:ind w:firstLine="480"/>
      </w:pPr>
      <w:r>
        <w:rPr>
          <w:rFonts w:hint="eastAsia"/>
          <w:i/>
        </w:rPr>
        <w:t>A</w:t>
      </w:r>
      <w:r>
        <w:rPr>
          <w:rFonts w:hint="eastAsia"/>
          <w:vertAlign w:val="subscript"/>
        </w:rPr>
        <w:t>1</w:t>
      </w:r>
      <w:r>
        <w:rPr>
          <w:rFonts w:hint="eastAsia"/>
        </w:rPr>
        <w:t>—结构振动响应功率谱密度中最大幅值，单位为m</w:t>
      </w:r>
      <w:r>
        <w:rPr>
          <w:rFonts w:hint="eastAsia"/>
          <w:vertAlign w:val="superscript"/>
        </w:rPr>
        <w:t>2</w:t>
      </w:r>
      <w:r>
        <w:rPr>
          <w:rFonts w:hint="eastAsia"/>
        </w:rPr>
        <w:t>/s</w:t>
      </w:r>
      <w:r>
        <w:rPr>
          <w:rFonts w:hint="eastAsia"/>
          <w:vertAlign w:val="superscript"/>
        </w:rPr>
        <w:t>3</w:t>
      </w:r>
      <w:r>
        <w:rPr>
          <w:rFonts w:hint="eastAsia"/>
        </w:rPr>
        <w:t>；</w:t>
      </w:r>
    </w:p>
    <w:p>
      <w:pPr>
        <w:ind w:firstLine="480"/>
      </w:pPr>
      <w:r>
        <w:rPr>
          <w:rFonts w:hint="eastAsia"/>
          <w:i/>
        </w:rPr>
        <w:t>A</w:t>
      </w:r>
      <w:r>
        <w:rPr>
          <w:rFonts w:hint="eastAsia"/>
          <w:vertAlign w:val="subscript"/>
        </w:rPr>
        <w:t>2</w:t>
      </w:r>
      <w:r>
        <w:rPr>
          <w:rFonts w:hint="eastAsia"/>
        </w:rPr>
        <w:t>—结构振动响应功率谱密度中次最大幅值，单位为m</w:t>
      </w:r>
      <w:r>
        <w:rPr>
          <w:rFonts w:hint="eastAsia"/>
          <w:vertAlign w:val="superscript"/>
        </w:rPr>
        <w:t>2</w:t>
      </w:r>
      <w:r>
        <w:rPr>
          <w:rFonts w:hint="eastAsia"/>
        </w:rPr>
        <w:t>/s</w:t>
      </w:r>
      <w:r>
        <w:rPr>
          <w:rFonts w:hint="eastAsia"/>
          <w:vertAlign w:val="superscript"/>
        </w:rPr>
        <w:t>3</w:t>
      </w:r>
      <w:r>
        <w:rPr>
          <w:rFonts w:hint="eastAsia"/>
        </w:rPr>
        <w:t>。</w:t>
      </w:r>
    </w:p>
    <w:p>
      <w:pPr>
        <w:ind w:firstLine="480"/>
      </w:pPr>
      <w:r>
        <w:t xml:space="preserve">2 </w:t>
      </w:r>
      <w:r>
        <w:rPr>
          <w:rFonts w:hint="eastAsia"/>
        </w:rPr>
        <w:t>可采用机器学习算法自动判断涡振，也可采用其他可靠方法。</w:t>
      </w:r>
    </w:p>
    <w:p>
      <w:pPr>
        <w:ind w:firstLine="480"/>
      </w:pPr>
      <w:r>
        <w:t xml:space="preserve">3 </w:t>
      </w:r>
      <w:r>
        <w:rPr>
          <w:rFonts w:hint="eastAsia"/>
        </w:rPr>
        <w:t>涡振超限预警，检查建议宜符合下列规定：</w:t>
      </w:r>
    </w:p>
    <w:p>
      <w:pPr>
        <w:ind w:firstLine="720" w:firstLineChars="300"/>
      </w:pPr>
      <w:r>
        <w:rPr>
          <w:rFonts w:hint="eastAsia"/>
        </w:rPr>
        <w:t>1）超限一级，提醒持续关注；</w:t>
      </w:r>
    </w:p>
    <w:p>
      <w:pPr>
        <w:ind w:firstLine="720" w:firstLineChars="300"/>
      </w:pPr>
      <w:r>
        <w:rPr>
          <w:rFonts w:hint="eastAsia"/>
        </w:rPr>
        <w:t>2）超限二级，提醒采取车辆限速等管理措施；</w:t>
      </w:r>
    </w:p>
    <w:p>
      <w:pPr>
        <w:ind w:firstLine="720" w:firstLineChars="300"/>
      </w:pPr>
      <w:r>
        <w:rPr>
          <w:rFonts w:hint="eastAsia"/>
        </w:rPr>
        <w:t>3）超限三级，提醒封闭桥梁，进行桥梁结构健康度评估。</w:t>
      </w:r>
    </w:p>
    <w:p>
      <w:pPr>
        <w:ind w:firstLine="480"/>
      </w:pPr>
      <w:r>
        <w:t xml:space="preserve">4 </w:t>
      </w:r>
      <w:r>
        <w:rPr>
          <w:rFonts w:hint="eastAsia"/>
        </w:rPr>
        <w:t>应提供桥梁涡振事件分析报告，报告内容宜包括：涡振前、涡振事件全过程、涡振后数据分析结果。数据分析宜符合下列规定：</w:t>
      </w:r>
    </w:p>
    <w:p>
      <w:pPr>
        <w:ind w:firstLine="720" w:firstLineChars="300"/>
      </w:pPr>
      <w:r>
        <w:rPr>
          <w:rFonts w:hint="eastAsia"/>
        </w:rPr>
        <w:t>1）分析桥面10min平均风速、平均风向、风攻角、湍流度；</w:t>
      </w:r>
    </w:p>
    <w:p>
      <w:pPr>
        <w:ind w:firstLine="720" w:firstLineChars="300"/>
      </w:pPr>
      <w:r>
        <w:rPr>
          <w:rFonts w:hint="eastAsia"/>
        </w:rPr>
        <w:t>2）分析主梁10 min加速度均方根值、模态参数变化；</w:t>
      </w:r>
    </w:p>
    <w:p>
      <w:pPr>
        <w:ind w:firstLine="720" w:firstLineChars="300"/>
      </w:pPr>
      <w:r>
        <w:rPr>
          <w:rFonts w:hint="eastAsia"/>
        </w:rPr>
        <w:t>3）分析涡振全过程持续时间、风况条件、加速度和位移均方根值、振动频率。</w:t>
      </w:r>
    </w:p>
    <w:p>
      <w:pPr>
        <w:pStyle w:val="4"/>
      </w:pPr>
      <w:r>
        <w:rPr>
          <w:rFonts w:hint="eastAsia"/>
        </w:rPr>
        <w:t>强（台）风应急管理应符合下列规定：</w:t>
      </w:r>
    </w:p>
    <w:p>
      <w:pPr>
        <w:ind w:firstLine="480"/>
      </w:pPr>
      <w:r>
        <w:t>1</w:t>
      </w:r>
      <w:r>
        <w:rPr>
          <w:rFonts w:hint="eastAsia"/>
        </w:rPr>
        <w:t xml:space="preserve"> 强（台）风风速超限阈值，检查宜符合下列规定：</w:t>
      </w:r>
    </w:p>
    <w:p>
      <w:pPr>
        <w:ind w:firstLine="720" w:firstLineChars="300"/>
      </w:pPr>
      <w:r>
        <w:rPr>
          <w:rFonts w:hint="eastAsia"/>
        </w:rPr>
        <w:t>1）超限一级，宜提醒封闭桥梁；</w:t>
      </w:r>
    </w:p>
    <w:p>
      <w:pPr>
        <w:ind w:firstLine="720" w:firstLineChars="300"/>
      </w:pPr>
      <w:r>
        <w:rPr>
          <w:rFonts w:hint="eastAsia"/>
        </w:rPr>
        <w:t>2）超限二级，宜提醒检查桥梁构件状态；</w:t>
      </w:r>
    </w:p>
    <w:p>
      <w:pPr>
        <w:ind w:firstLine="720" w:firstLineChars="300"/>
      </w:pPr>
      <w:r>
        <w:rPr>
          <w:rFonts w:hint="eastAsia"/>
        </w:rPr>
        <w:t>3）超限三级，宜提醒检查桥梁构件状态，并进行桥梁结构健康度评估。</w:t>
      </w:r>
    </w:p>
    <w:p>
      <w:pPr>
        <w:ind w:firstLine="480"/>
      </w:pPr>
      <w:r>
        <w:t xml:space="preserve">2 </w:t>
      </w:r>
      <w:r>
        <w:rPr>
          <w:rFonts w:hint="eastAsia"/>
        </w:rPr>
        <w:t>应提供桥梁强（台）风分析报告，报告内容宜包括：强（台）风前强（台）风全过程、强（台）风后数据分析结果。数据分析宜符合下列规定：</w:t>
      </w:r>
    </w:p>
    <w:p>
      <w:pPr>
        <w:ind w:firstLine="720" w:firstLineChars="300"/>
      </w:pPr>
      <w:r>
        <w:rPr>
          <w:rFonts w:hint="eastAsia"/>
        </w:rPr>
        <w:t>1）分析桥面10min平均风速、平均风向、风攻角、湍流度、阵风因子；</w:t>
      </w:r>
    </w:p>
    <w:p>
      <w:pPr>
        <w:ind w:firstLine="720" w:firstLineChars="300"/>
      </w:pPr>
      <w:r>
        <w:rPr>
          <w:rFonts w:hint="eastAsia"/>
        </w:rPr>
        <w:t>2）分析主梁、悬索桥吊索、斜拉桥斜拉索、拱桥吊索等振动加速度均方根值、模态参数变化；</w:t>
      </w:r>
    </w:p>
    <w:p>
      <w:pPr>
        <w:ind w:firstLine="720" w:firstLineChars="300"/>
      </w:pPr>
      <w:r>
        <w:rPr>
          <w:rFonts w:hint="eastAsia"/>
        </w:rPr>
        <w:t>3）分析主梁竖向和横向位移塔顶偏位、主缆偏位、主拱拱顶位移、索力基准值变化等最大值。</w:t>
      </w:r>
    </w:p>
    <w:p>
      <w:pPr>
        <w:pStyle w:val="4"/>
      </w:pPr>
      <w:r>
        <w:rPr>
          <w:rFonts w:hint="eastAsia"/>
        </w:rPr>
        <w:t>悬索桥吊索、斜拉桥斜拉索、拱桥吊索等索构件振动加速度超限二级，应检查减振设施有效性并进行数据分析，数据分析内容宜包括：索构件异常振动前、异常振动全过程、异常振动后数据分析结果。数据分析宜符合下列规定：</w:t>
      </w:r>
    </w:p>
    <w:p>
      <w:pPr>
        <w:ind w:firstLine="480"/>
      </w:pPr>
      <w:r>
        <w:t xml:space="preserve">1 </w:t>
      </w:r>
      <w:r>
        <w:rPr>
          <w:rFonts w:hint="eastAsia"/>
        </w:rPr>
        <w:t>分析桥面10min平均风速、平均风向、风偏角、风攻角、降雨量。</w:t>
      </w:r>
    </w:p>
    <w:p>
      <w:pPr>
        <w:ind w:firstLine="480"/>
      </w:pPr>
      <w:r>
        <w:t xml:space="preserve">2 </w:t>
      </w:r>
      <w:r>
        <w:rPr>
          <w:rFonts w:hint="eastAsia"/>
        </w:rPr>
        <w:t>分析索构件10min加速度均方根值、模态参数变化。</w:t>
      </w:r>
    </w:p>
    <w:p>
      <w:pPr>
        <w:ind w:firstLine="480"/>
      </w:pPr>
      <w:r>
        <w:t xml:space="preserve">3 </w:t>
      </w:r>
      <w:r>
        <w:rPr>
          <w:rFonts w:hint="eastAsia"/>
        </w:rPr>
        <w:t>分析索构件异常振动全过程持续时间、风况条件、加速度和位移均方根值、振动频率。</w:t>
      </w:r>
    </w:p>
    <w:p>
      <w:pPr>
        <w:ind w:firstLine="480"/>
      </w:pPr>
      <w:r>
        <w:t xml:space="preserve">4 </w:t>
      </w:r>
      <w:r>
        <w:rPr>
          <w:rFonts w:hint="eastAsia"/>
        </w:rPr>
        <w:t>分析索构件索力基准值变化。</w:t>
      </w:r>
    </w:p>
    <w:p>
      <w:pPr>
        <w:ind w:firstLine="480"/>
      </w:pPr>
      <w:r>
        <w:t xml:space="preserve">5 </w:t>
      </w:r>
      <w:r>
        <w:rPr>
          <w:rFonts w:hint="eastAsia"/>
        </w:rPr>
        <w:t>分析索构件异常振动的类型。</w:t>
      </w:r>
    </w:p>
    <w:p>
      <w:pPr>
        <w:pStyle w:val="4"/>
      </w:pPr>
      <w:r>
        <w:rPr>
          <w:rFonts w:hint="eastAsia"/>
        </w:rPr>
        <w:t>地震应急管理宜符合下列规定：</w:t>
      </w:r>
    </w:p>
    <w:p>
      <w:pPr>
        <w:ind w:firstLine="480"/>
      </w:pPr>
      <w:r>
        <w:t xml:space="preserve">1 </w:t>
      </w:r>
      <w:r>
        <w:rPr>
          <w:rFonts w:hint="eastAsia"/>
        </w:rPr>
        <w:t>地震动加速度超限二级时，宜提醒对桥梁进行全面检查。.</w:t>
      </w:r>
    </w:p>
    <w:p>
      <w:pPr>
        <w:ind w:firstLine="480"/>
      </w:pPr>
      <w:r>
        <w:t xml:space="preserve">2 </w:t>
      </w:r>
      <w:r>
        <w:rPr>
          <w:rFonts w:hint="eastAsia"/>
        </w:rPr>
        <w:t>地震动加速度超限三级时，宜提醒封闭桥梁，对桥梁进行全面检查，宜符合下列规定：</w:t>
      </w:r>
    </w:p>
    <w:p>
      <w:pPr>
        <w:ind w:firstLine="720" w:firstLineChars="300"/>
      </w:pPr>
      <w:r>
        <w:rPr>
          <w:rFonts w:hint="eastAsia"/>
        </w:rPr>
        <w:t>1）按4.3.</w:t>
      </w:r>
      <w:r>
        <w:t>30</w:t>
      </w:r>
      <w:r>
        <w:rPr>
          <w:rFonts w:hint="eastAsia"/>
        </w:rPr>
        <w:t>条的规定，利用监测数据进行桥梁结构健康度评估；</w:t>
      </w:r>
    </w:p>
    <w:p>
      <w:pPr>
        <w:ind w:firstLine="720" w:firstLineChars="300"/>
      </w:pPr>
      <w:r>
        <w:rPr>
          <w:rFonts w:hint="eastAsia"/>
        </w:rPr>
        <w:t>2）也可采用可靠的考虑土结相互作用的非线性结构有限元模型，通过计算分析在地震动作用下桥梁加速度、位移、支座反力、构件内力和应力等结构响应的最大值和残余量，进行桥梁结构健康度评估。</w:t>
      </w:r>
    </w:p>
    <w:p>
      <w:pPr>
        <w:ind w:firstLine="480"/>
      </w:pPr>
      <w:r>
        <w:t xml:space="preserve">3 </w:t>
      </w:r>
      <w:r>
        <w:rPr>
          <w:rFonts w:hint="eastAsia"/>
        </w:rPr>
        <w:t>提供地震事件分析报告，报告内容宜包括：震前、地震过程中和震后数据分析结果。数据分析宜符合下列规定：</w:t>
      </w:r>
    </w:p>
    <w:p>
      <w:pPr>
        <w:ind w:firstLine="720" w:firstLineChars="300"/>
      </w:pPr>
      <w:r>
        <w:rPr>
          <w:rFonts w:hint="eastAsia"/>
        </w:rPr>
        <w:t>1）分析地震过程中桥址地表场地和桥梁墩底、承台加速度峰值、均方根值、反应谱；</w:t>
      </w:r>
    </w:p>
    <w:p>
      <w:pPr>
        <w:ind w:firstLine="720" w:firstLineChars="300"/>
      </w:pPr>
      <w:r>
        <w:rPr>
          <w:rFonts w:hint="eastAsia"/>
        </w:rPr>
        <w:t>2）分析主梁竖向和横向位移、支座位移、梁端纵向位移、塔顶偏位、主缆偏位，梁桥高墩墩顶位移、拱桥主拱拱顶位移的最大值和残余位移；分析主梁索塔、主拱关键截面应变最大值和残余应变；分析悬索桥吊索锚跨索股力，斜拉桥斜拉索、拱桥吊索、系杆等索力基准值变化；分析支座反力的最大值和残余力；</w:t>
      </w:r>
    </w:p>
    <w:p>
      <w:pPr>
        <w:ind w:firstLine="720" w:firstLineChars="300"/>
      </w:pPr>
      <w:r>
        <w:rPr>
          <w:rFonts w:hint="eastAsia"/>
        </w:rPr>
        <w:t>3）分析主梁、塔顶、主拱、索构件等振动加速度的峰值和均方根值；</w:t>
      </w:r>
    </w:p>
    <w:p>
      <w:pPr>
        <w:ind w:firstLine="720" w:firstLineChars="300"/>
      </w:pPr>
      <w:r>
        <w:rPr>
          <w:rFonts w:hint="eastAsia"/>
        </w:rPr>
        <w:t>4）分析震前和震后桥梁模态参数变化。</w:t>
      </w:r>
    </w:p>
    <w:p>
      <w:pPr>
        <w:pStyle w:val="4"/>
      </w:pPr>
      <w:r>
        <w:rPr>
          <w:rFonts w:hint="eastAsia"/>
        </w:rPr>
        <w:t>车辆超载应急管理应符合下列规定：</w:t>
      </w:r>
    </w:p>
    <w:p>
      <w:pPr>
        <w:ind w:firstLine="480"/>
      </w:pPr>
      <w:r>
        <w:t xml:space="preserve">1 </w:t>
      </w:r>
      <w:r>
        <w:rPr>
          <w:rFonts w:hint="eastAsia"/>
        </w:rPr>
        <w:t>监测车辆荷载超限二级时，应提醒进行桥梁结构检查。</w:t>
      </w:r>
    </w:p>
    <w:p>
      <w:pPr>
        <w:ind w:firstLine="480"/>
      </w:pPr>
      <w:r>
        <w:t xml:space="preserve">2 </w:t>
      </w:r>
      <w:r>
        <w:rPr>
          <w:rFonts w:hint="eastAsia"/>
        </w:rPr>
        <w:t>可根据4.3.</w:t>
      </w:r>
      <w:r>
        <w:t>30</w:t>
      </w:r>
      <w:r>
        <w:rPr>
          <w:rFonts w:hint="eastAsia"/>
        </w:rPr>
        <w:t>条规定，利用监测数据进行桥梁结构健康度评估。</w:t>
      </w:r>
    </w:p>
    <w:p>
      <w:pPr>
        <w:ind w:firstLine="480"/>
      </w:pPr>
      <w:r>
        <w:t xml:space="preserve">3 </w:t>
      </w:r>
      <w:r>
        <w:rPr>
          <w:rFonts w:hint="eastAsia"/>
        </w:rPr>
        <w:t>也可采用可靠的修正有限元模型，验算超载车辆荷载作用下的主梁竖向位移、支座反力、构件内力和应力，并通过与实测监测数据对比，进行桥梁结构健康度评估。</w:t>
      </w:r>
    </w:p>
    <w:p>
      <w:pPr>
        <w:ind w:firstLine="480"/>
      </w:pPr>
      <w:r>
        <w:t xml:space="preserve">4 </w:t>
      </w:r>
      <w:r>
        <w:rPr>
          <w:rFonts w:hint="eastAsia"/>
        </w:rPr>
        <w:t>车辆超载特殊事件专项报告内容宜包括：超载车辆荷载、发生时间，主梁竖向位移、支座位移、主梁关键截面静应变，悬索桥吊索、斜拉桥斜拉索、拱桥吊杆（索）、系杆等索力，支座反力等最大值。</w:t>
      </w:r>
    </w:p>
    <w:p>
      <w:pPr>
        <w:pStyle w:val="4"/>
      </w:pPr>
      <w:r>
        <w:rPr>
          <w:rFonts w:hint="eastAsia"/>
        </w:rPr>
        <w:t>车辆和船舶撞击应急管理应符合下列规定：</w:t>
      </w:r>
    </w:p>
    <w:p>
      <w:pPr>
        <w:ind w:firstLine="480"/>
      </w:pPr>
      <w:r>
        <w:t xml:space="preserve">1 </w:t>
      </w:r>
      <w:r>
        <w:rPr>
          <w:rFonts w:hint="eastAsia"/>
        </w:rPr>
        <w:t>桥梁发生撞击后，应提醒进行桥梁结构检查。</w:t>
      </w:r>
    </w:p>
    <w:p>
      <w:pPr>
        <w:ind w:firstLine="480"/>
      </w:pPr>
      <w:r>
        <w:t xml:space="preserve">2 </w:t>
      </w:r>
      <w:r>
        <w:rPr>
          <w:rFonts w:hint="eastAsia"/>
        </w:rPr>
        <w:t>可进行桥梁结构健康度评估，提供分析报告，报告内容宜包括撞击前、撞击全过程、撞击后数据分析结果。数据分析宜符合下列规定：</w:t>
      </w:r>
    </w:p>
    <w:p>
      <w:pPr>
        <w:pStyle w:val="40"/>
        <w:numPr>
          <w:ilvl w:val="0"/>
          <w:numId w:val="0"/>
        </w:numPr>
        <w:ind w:leftChars="200" w:firstLine="240" w:firstLineChars="100"/>
      </w:pPr>
      <w:r>
        <w:rPr>
          <w:rFonts w:hint="eastAsia"/>
          <w:lang w:val="en-US" w:eastAsia="zh-CN"/>
        </w:rPr>
        <w:t>1)</w:t>
      </w:r>
      <w:r>
        <w:rPr>
          <w:rFonts w:hint="eastAsia"/>
        </w:rPr>
        <w:t>对撞击全过程视频监测数据进行分析；</w:t>
      </w:r>
    </w:p>
    <w:p>
      <w:pPr>
        <w:ind w:firstLine="720" w:firstLineChars="300"/>
      </w:pPr>
      <w:r>
        <w:rPr>
          <w:rFonts w:hint="eastAsia"/>
        </w:rPr>
        <w:t>2）分析主梁、塔顶、桥墩墩顶振动加速度，主梁横向位移、梁桥高墩墩顶位移、支座位移、主梁关键截面静应变，悬索桥吊索、斜拉桥斜拉索、拱桥吊杆（索）、系杆等索力，支座反力、拱脚位移等监测数据的绝对最大值与残余值，模态参数等。</w:t>
      </w:r>
    </w:p>
    <w:p>
      <w:pPr>
        <w:pStyle w:val="3"/>
        <w:jc w:val="center"/>
      </w:pPr>
      <w:bookmarkStart w:id="27" w:name="_Toc136506060"/>
      <w:r>
        <w:rPr>
          <w:rFonts w:hint="eastAsia"/>
        </w:rPr>
        <w:t>硬件系统设计</w:t>
      </w:r>
      <w:bookmarkEnd w:id="27"/>
    </w:p>
    <w:p>
      <w:pPr>
        <w:pStyle w:val="4"/>
      </w:pPr>
      <w:r>
        <w:rPr>
          <w:rFonts w:hint="eastAsia"/>
        </w:rPr>
        <w:t>应根据桥梁监测参数的计算结果，确定传感器的量程、分辨力、精度、灵敏度、动态频响特性、长期稳定性、环境适应性等参数。</w:t>
      </w:r>
    </w:p>
    <w:p>
      <w:pPr>
        <w:pStyle w:val="4"/>
      </w:pPr>
      <w:r>
        <w:rPr>
          <w:rFonts w:hint="eastAsia"/>
        </w:rPr>
        <w:t>传感器应选用耐久性好、通讯接口</w:t>
      </w:r>
      <w:r>
        <w:t>具备</w:t>
      </w:r>
      <w:r>
        <w:rPr>
          <w:rFonts w:hint="eastAsia"/>
        </w:rPr>
        <w:t>普适性、抗干扰能力强、技术成熟、性能先进的产品。</w:t>
      </w:r>
    </w:p>
    <w:p>
      <w:pPr>
        <w:pStyle w:val="4"/>
      </w:pPr>
      <w:r>
        <w:rPr>
          <w:rFonts w:hint="eastAsia"/>
        </w:rPr>
        <w:t>应根据桥梁感知方法、传感器数量和分布确定数据采集方法，包括数据采集硬件、软件以及数据采集制式。</w:t>
      </w:r>
    </w:p>
    <w:p>
      <w:pPr>
        <w:pStyle w:val="4"/>
      </w:pPr>
      <w:r>
        <w:rPr>
          <w:rFonts w:hint="eastAsia"/>
        </w:rPr>
        <w:t>数据采集方式应根据桥梁规模、测点空间分布、结构特点和传感器类型选择分布式数据采集或集中式数据采集。</w:t>
      </w:r>
    </w:p>
    <w:p>
      <w:pPr>
        <w:pStyle w:val="4"/>
      </w:pPr>
      <w:r>
        <w:rPr>
          <w:rFonts w:hint="eastAsia"/>
        </w:rPr>
        <w:t>动态数据采集设备的模数转换分辨力应满足实时报警、数据分析及应用的要求。</w:t>
      </w:r>
    </w:p>
    <w:p>
      <w:pPr>
        <w:pStyle w:val="4"/>
      </w:pPr>
      <w:r>
        <w:rPr>
          <w:rFonts w:hint="eastAsia"/>
        </w:rPr>
        <w:t>环境监测传感器应</w:t>
      </w:r>
      <w:r>
        <w:t>符合下列规定</w:t>
      </w:r>
      <w:r>
        <w:rPr>
          <w:rFonts w:hint="eastAsia"/>
        </w:rPr>
        <w:t>：</w:t>
      </w:r>
    </w:p>
    <w:p>
      <w:pPr>
        <w:ind w:firstLine="480"/>
      </w:pPr>
      <w:r>
        <w:rPr>
          <w:rFonts w:hint="eastAsia"/>
        </w:rPr>
        <w:t>1 环境温度监测宜采用热电偶、热电阻、光纤温度传感器等，传感器量程上限宜超出大气温度年极大值30℃以上，量程下限宜低于年极小值20℃以上，温度监测方法应符合</w:t>
      </w:r>
      <w:r>
        <w:rPr>
          <w:rFonts w:hint="eastAsia"/>
          <w:bCs/>
          <w:szCs w:val="32"/>
        </w:rPr>
        <w:t>《建筑与桥梁结构监测技术规范</w:t>
      </w:r>
      <w:r>
        <w:rPr>
          <w:rFonts w:hint="eastAsia"/>
        </w:rPr>
        <w:t>》GB 50982的相关规定。</w:t>
      </w:r>
    </w:p>
    <w:p>
      <w:pPr>
        <w:ind w:firstLine="480"/>
      </w:pPr>
      <w:r>
        <w:rPr>
          <w:rFonts w:hint="eastAsia"/>
        </w:rPr>
        <w:t>2 环境湿度监测应采用湿度传感器，可选用氯化锂湿度计、电阻电容湿度计和电解湿度计等，监测方法应符合</w:t>
      </w:r>
      <w:r>
        <w:rPr>
          <w:rFonts w:hint="eastAsia"/>
          <w:bCs/>
          <w:szCs w:val="32"/>
        </w:rPr>
        <w:t>《建筑与桥梁结构监测技术规范</w:t>
      </w:r>
      <w:r>
        <w:rPr>
          <w:rFonts w:hint="eastAsia"/>
        </w:rPr>
        <w:t>》GB 50982的相关规定。</w:t>
      </w:r>
    </w:p>
    <w:p>
      <w:pPr>
        <w:ind w:firstLine="480"/>
      </w:pPr>
      <w:r>
        <w:rPr>
          <w:rFonts w:hint="eastAsia"/>
        </w:rPr>
        <w:t>3 雨量监测应采用雨量传感器，可选用电容雨量传感器、红外散射式雨量传感器、单翻斗雨量传感器等，应根据桥址处气候、气象条件选择雨量传感器类型、量程。</w:t>
      </w:r>
    </w:p>
    <w:p>
      <w:pPr>
        <w:ind w:firstLine="480"/>
      </w:pPr>
      <w:r>
        <w:rPr>
          <w:rFonts w:hint="eastAsia"/>
        </w:rPr>
        <w:t>4 结冰监测可采用超声波测试法、视频监测法，结冰厚度监测最大允许误差宜小于1mm，视频监测法中摄像机技术参数和指标应符合</w:t>
      </w:r>
      <w:r>
        <w:rPr>
          <w:rFonts w:hint="eastAsia"/>
          <w:bCs/>
          <w:szCs w:val="32"/>
        </w:rPr>
        <w:t>《交通信息采集视频交通流检测器》</w:t>
      </w:r>
      <w:r>
        <w:rPr>
          <w:rFonts w:hint="eastAsia"/>
        </w:rPr>
        <w:t>GB/T 24726的相关规定，且应符合下列规定：</w:t>
      </w:r>
    </w:p>
    <w:p>
      <w:pPr>
        <w:ind w:firstLine="720" w:firstLineChars="300"/>
      </w:pPr>
      <w:r>
        <w:t>1</w:t>
      </w:r>
      <w:r>
        <w:rPr>
          <w:rFonts w:hint="eastAsia"/>
        </w:rPr>
        <w:t>）像素应大于等于200万，帧率应大于等于25FPS；</w:t>
      </w:r>
    </w:p>
    <w:p>
      <w:pPr>
        <w:ind w:firstLine="720" w:firstLineChars="300"/>
      </w:pPr>
      <w:r>
        <w:rPr>
          <w:rFonts w:hint="eastAsia"/>
        </w:rPr>
        <w:t>2）动态范围应大于等于55dB，应具备自动光圈、变焦镜头、红外夜视、昼/夜自动转换功能、防护罩；</w:t>
      </w:r>
    </w:p>
    <w:p>
      <w:pPr>
        <w:ind w:firstLine="720" w:firstLineChars="300"/>
      </w:pPr>
      <w:r>
        <w:rPr>
          <w:rFonts w:hint="eastAsia"/>
        </w:rPr>
        <w:t>3）具备水平0°～360°，垂直15°～ 90°旋转功能。</w:t>
      </w:r>
    </w:p>
    <w:p>
      <w:pPr>
        <w:ind w:firstLine="480"/>
      </w:pPr>
      <w:r>
        <w:rPr>
          <w:rFonts w:hint="eastAsia"/>
        </w:rPr>
        <w:t>5 能见度监测可采用前向散射式传感器监测，应根据桥址处气候、气象条件选择传感器相应量程，散射角覆盖范围宜大于等于3</w:t>
      </w:r>
      <w:r>
        <w:t>0</w:t>
      </w:r>
      <w:r>
        <w:rPr>
          <w:rFonts w:hint="eastAsia"/>
        </w:rPr>
        <w:t>°～</w:t>
      </w:r>
      <w:r>
        <w:t>40</w:t>
      </w:r>
      <w:r>
        <w:rPr>
          <w:rFonts w:hint="eastAsia"/>
        </w:rPr>
        <w:t>°。</w:t>
      </w:r>
    </w:p>
    <w:p>
      <w:pPr>
        <w:pStyle w:val="4"/>
      </w:pPr>
      <w:r>
        <w:rPr>
          <w:rFonts w:hint="eastAsia"/>
        </w:rPr>
        <w:t>作用监测传感器应</w:t>
      </w:r>
      <w:r>
        <w:t>符合下列规定</w:t>
      </w:r>
      <w:r>
        <w:rPr>
          <w:rFonts w:hint="eastAsia"/>
        </w:rPr>
        <w:t>：</w:t>
      </w:r>
    </w:p>
    <w:p>
      <w:pPr>
        <w:ind w:firstLine="480"/>
      </w:pPr>
      <w:r>
        <w:rPr>
          <w:rFonts w:hint="eastAsia"/>
        </w:rPr>
        <w:t>1 车辆荷载监测宜采用动态称重方法并与视频图像联动监测，动态称重设备宜采用动态公路车辆自动衡器，设备应符合《动态公路车辆自动衡器 第1部分：通用技术规范》GB/T 21296.1的相关规定，且应符合下列规定：</w:t>
      </w:r>
    </w:p>
    <w:p>
      <w:pPr>
        <w:ind w:firstLine="720" w:firstLineChars="300"/>
      </w:pPr>
      <w:r>
        <w:t>1</w:t>
      </w:r>
      <w:r>
        <w:rPr>
          <w:rFonts w:hint="eastAsia"/>
        </w:rPr>
        <w:t>）传感器布设尺寸应覆盖车道宽度，称重量程根据桥梁车辆限载重以及预估车辆载重综合确定，单轴监测量程不宜小于限载车辆轴重的200%；</w:t>
      </w:r>
    </w:p>
    <w:p>
      <w:pPr>
        <w:ind w:firstLine="720" w:firstLineChars="300"/>
      </w:pPr>
      <w:r>
        <w:t>2</w:t>
      </w:r>
      <w:r>
        <w:rPr>
          <w:rFonts w:hint="eastAsia"/>
        </w:rPr>
        <w:t>）具备数据自动采集功能，现场单车荷载数据存储能力宜不少于90d，视频数据存储能力宜不少于30d；</w:t>
      </w:r>
    </w:p>
    <w:p>
      <w:pPr>
        <w:ind w:firstLine="720" w:firstLineChars="300"/>
      </w:pPr>
      <w:r>
        <w:t>3</w:t>
      </w:r>
      <w:r>
        <w:rPr>
          <w:rFonts w:hint="eastAsia"/>
        </w:rPr>
        <w:t>）车辆空间分布宜联合采用动态称重和视频图像监测设备，视频监测范围应覆盖全桥范围内的所有行车道，且具备图像自动抓拍功能；</w:t>
      </w:r>
    </w:p>
    <w:p>
      <w:pPr>
        <w:ind w:firstLine="720" w:firstLineChars="300"/>
      </w:pPr>
      <w:r>
        <w:t>4</w:t>
      </w:r>
      <w:r>
        <w:rPr>
          <w:rFonts w:hint="eastAsia"/>
        </w:rPr>
        <w:t>）视频图像监测宜采用IP网络摄像机，摄像机技术参数和指标应符合4.4.</w:t>
      </w:r>
      <w:r>
        <w:t>6 4</w:t>
      </w:r>
      <w:r>
        <w:rPr>
          <w:rFonts w:hint="eastAsia"/>
        </w:rPr>
        <w:t>的规定。</w:t>
      </w:r>
    </w:p>
    <w:p>
      <w:pPr>
        <w:ind w:firstLine="480"/>
      </w:pPr>
      <w:r>
        <w:rPr>
          <w:rFonts w:hint="eastAsia"/>
        </w:rPr>
        <w:t>2 桥面风速风向监测宜采用三向超声风速仪，塔顶风速风向宜采用机械式风速仪或两向超声风速仪，监测方法应符合《建筑与桥梁结构监测技术规范》GB 50982的相关规定，且应符合下列规定：</w:t>
      </w:r>
    </w:p>
    <w:p>
      <w:pPr>
        <w:ind w:firstLine="720" w:firstLineChars="300"/>
      </w:pPr>
      <w:r>
        <w:t>1</w:t>
      </w:r>
      <w:r>
        <w:rPr>
          <w:rFonts w:hint="eastAsia"/>
        </w:rPr>
        <w:t>）处于强（台）风区域的桥梁应选择三向超声风速仪，测试参数应包括风速和风向等；</w:t>
      </w:r>
    </w:p>
    <w:p>
      <w:pPr>
        <w:ind w:firstLine="720" w:firstLineChars="300"/>
      </w:pPr>
      <w:r>
        <w:t>2</w:t>
      </w:r>
      <w:r>
        <w:rPr>
          <w:rFonts w:hint="eastAsia"/>
        </w:rPr>
        <w:t>）风速测试量程应大于其安装高度处设计风速的1.2倍；</w:t>
      </w:r>
    </w:p>
    <w:p>
      <w:pPr>
        <w:ind w:firstLine="720" w:firstLineChars="300"/>
      </w:pPr>
      <w:r>
        <w:t>3</w:t>
      </w:r>
      <w:r>
        <w:rPr>
          <w:rFonts w:hint="eastAsia"/>
        </w:rPr>
        <w:t>）主梁两侧应采用同类型风速仪，多个索塔塔顶宜采用同类型风速仪；</w:t>
      </w:r>
    </w:p>
    <w:p>
      <w:pPr>
        <w:ind w:firstLine="720" w:firstLineChars="300"/>
      </w:pPr>
      <w:r>
        <w:t>4</w:t>
      </w:r>
      <w:r>
        <w:rPr>
          <w:rFonts w:hint="eastAsia"/>
        </w:rPr>
        <w:t>）新建桥梁风速风向传感器宜安装在专用支架上，支架应具有足够刚度和强度，与桥体连接牢固，并满足抗风要求；支架伸出索塔高度方向宜大于等于3m。在役桥梁风速风向传感器可安装在桥梁沿线附属设施构件上，但应避免主体结构绕流对风速测试数据的影响。</w:t>
      </w:r>
    </w:p>
    <w:p>
      <w:pPr>
        <w:ind w:firstLine="480"/>
      </w:pPr>
      <w:r>
        <w:rPr>
          <w:rFonts w:hint="eastAsia"/>
        </w:rPr>
        <w:t>3 桥梁风压监测应</w:t>
      </w:r>
      <w:r>
        <w:t>符合下列规定</w:t>
      </w:r>
      <w:r>
        <w:rPr>
          <w:rFonts w:hint="eastAsia"/>
        </w:rPr>
        <w:t>：</w:t>
      </w:r>
    </w:p>
    <w:p>
      <w:pPr>
        <w:ind w:firstLine="720" w:firstLineChars="300"/>
      </w:pPr>
      <w:r>
        <w:t>1</w:t>
      </w:r>
      <w:r>
        <w:rPr>
          <w:rFonts w:hint="eastAsia"/>
        </w:rPr>
        <w:t>）自由场处风压监测宜选择皮托管，皮托管应安装在不受干扰的自由风场处，水平周向每隔30°布设一个，皮托管安装于固定支架上；</w:t>
      </w:r>
    </w:p>
    <w:p>
      <w:pPr>
        <w:ind w:firstLine="720" w:firstLineChars="300"/>
      </w:pPr>
      <w:r>
        <w:t>2</w:t>
      </w:r>
      <w:r>
        <w:rPr>
          <w:rFonts w:hint="eastAsia"/>
        </w:rPr>
        <w:t>）主梁风压监测宜选择陶瓷型或扩散硅型微压差传感器，量程宜大于-1000Pa～+1000Pa，最大允许误差0.5%F.S，传感器沿主梁截面周向和纵桥向布置，应安装于梁体外表面，气嘴垂直于梁体外表面。</w:t>
      </w:r>
    </w:p>
    <w:p>
      <w:pPr>
        <w:ind w:firstLine="480"/>
      </w:pPr>
      <w:r>
        <w:rPr>
          <w:rFonts w:hint="eastAsia"/>
        </w:rPr>
        <w:t>4 地震动监测宜采用力平衡式加速度传感器、强震仪。力平衡式加速度传感器动态范围宜大于等于120dB。强震仪技术要求宜符合《地震行业标准体系》DB/T 1相关规定。地震动监测方法应符合《建筑与桥梁结构监测技术规范》GB 50982的相关规定。</w:t>
      </w:r>
    </w:p>
    <w:p>
      <w:pPr>
        <w:ind w:firstLine="480"/>
      </w:pPr>
      <w:r>
        <w:rPr>
          <w:rFonts w:hint="eastAsia"/>
        </w:rPr>
        <w:t>5 船舶撞击桥墩加速度监测宜与地震动监测协同，宜采用力平衡式加速度传感器、强震仪，技术参数宜符合4.4.</w:t>
      </w:r>
      <w:r>
        <w:t xml:space="preserve">7 </w:t>
      </w:r>
      <w:r>
        <w:rPr>
          <w:rFonts w:hint="eastAsia"/>
        </w:rPr>
        <w:t>4的规定，并辅助视频监测。摄像机技术参数和指标应符合4.4.</w:t>
      </w:r>
      <w:r>
        <w:t>6 4</w:t>
      </w:r>
      <w:r>
        <w:rPr>
          <w:rFonts w:hint="eastAsia"/>
        </w:rPr>
        <w:t>的规定，宜具备低照度、透雾功能。</w:t>
      </w:r>
    </w:p>
    <w:p>
      <w:pPr>
        <w:ind w:firstLine="480"/>
      </w:pPr>
      <w:r>
        <w:rPr>
          <w:rFonts w:hint="eastAsia"/>
        </w:rPr>
        <w:t>6 人群荷载监测宜采用视频法监测，摄像机技术参数和指标应符合4.4.</w:t>
      </w:r>
      <w:r>
        <w:t>6 4</w:t>
      </w:r>
      <w:r>
        <w:rPr>
          <w:rFonts w:hint="eastAsia"/>
        </w:rPr>
        <w:t>的规定，应具备人流量统计功等能。</w:t>
      </w:r>
    </w:p>
    <w:p>
      <w:pPr>
        <w:pStyle w:val="4"/>
      </w:pPr>
      <w:r>
        <w:rPr>
          <w:rFonts w:hint="eastAsia"/>
        </w:rPr>
        <w:t>结构响应监测传感器应</w:t>
      </w:r>
      <w:r>
        <w:t>符合下列规定</w:t>
      </w:r>
      <w:r>
        <w:rPr>
          <w:rFonts w:hint="eastAsia"/>
        </w:rPr>
        <w:t>：</w:t>
      </w:r>
    </w:p>
    <w:p>
      <w:pPr>
        <w:ind w:firstLine="480"/>
      </w:pPr>
      <w:r>
        <w:rPr>
          <w:rFonts w:hint="eastAsia"/>
        </w:rPr>
        <w:t>1 位移监测应根据被测桥梁结构、构件和附属设施的构造特点、安装环境，选择传感器类型、精度、位置和安装方式，位移监测方法应符合《建筑与桥梁结构监测技术规范》GB 50982的相关规定，且应</w:t>
      </w:r>
      <w:r>
        <w:t>符合下列规定</w:t>
      </w:r>
      <w:r>
        <w:rPr>
          <w:rFonts w:hint="eastAsia"/>
        </w:rPr>
        <w:t>：</w:t>
      </w:r>
    </w:p>
    <w:p>
      <w:pPr>
        <w:ind w:firstLine="720" w:firstLineChars="300"/>
      </w:pPr>
      <w:r>
        <w:t>1</w:t>
      </w:r>
      <w:r>
        <w:rPr>
          <w:rFonts w:hint="eastAsia"/>
        </w:rPr>
        <w:t>）悬索桥主梁竖向位移和横向位移、斜拉桥主梁和拱桥主梁横向位移、塔顶偏位、主缆偏位宜采用GNSS监测技术进行监测，监测数据应转换到大桥独立坐标系。技术指标应符合《低轨星载GNSS测量型接收机通用规范》GB/T</w:t>
      </w:r>
      <w:r>
        <w:t xml:space="preserve"> </w:t>
      </w:r>
      <w:r>
        <w:rPr>
          <w:rFonts w:hint="eastAsia"/>
        </w:rPr>
        <w:t>39410相关规定；</w:t>
      </w:r>
    </w:p>
    <w:p>
      <w:pPr>
        <w:ind w:firstLine="720" w:firstLineChars="300"/>
      </w:pPr>
      <w:r>
        <w:t>2</w:t>
      </w:r>
      <w:r>
        <w:rPr>
          <w:rFonts w:hint="eastAsia"/>
        </w:rPr>
        <w:t>）斜拉桥、梁桥和拱桥的主梁竖向位移监测可选用基于连通管原理的压力变送器等，将安装、调试后监测仪器的初始值作为测量基准值，并应定期进行温度修正和补液，压力变送器技术指标宜符合《压力变送器检定规程》JJG</w:t>
      </w:r>
      <w:r>
        <w:t xml:space="preserve"> </w:t>
      </w:r>
      <w:r>
        <w:rPr>
          <w:rFonts w:hint="eastAsia"/>
        </w:rPr>
        <w:t>882的相关规定；也可选用其他类型满足量程、精度、分辨力要求的位移传感器，或设置桥梁永久观测点固定测标进行定期量测；</w:t>
      </w:r>
    </w:p>
    <w:p>
      <w:pPr>
        <w:ind w:firstLine="720" w:firstLineChars="300"/>
      </w:pPr>
      <w:r>
        <w:t>3</w:t>
      </w:r>
      <w:r>
        <w:rPr>
          <w:rFonts w:hint="eastAsia"/>
        </w:rPr>
        <w:t>）支座位移、梁端纵向位移宜选用拉线式位移传感器、磁致伸缩位移传感器、激光位移传感器等，技术指标宜符合《线位移传感器校准规范》JJF1305的相关规定；</w:t>
      </w:r>
    </w:p>
    <w:p>
      <w:pPr>
        <w:ind w:firstLine="720" w:firstLineChars="300"/>
      </w:pPr>
      <w:r>
        <w:t>4</w:t>
      </w:r>
      <w:r>
        <w:rPr>
          <w:rFonts w:hint="eastAsia"/>
        </w:rPr>
        <w:t>）特殊条件下的结构和构件位移监测，可选用视频图像法或雷达测试法。视频图像法应符合4.4.</w:t>
      </w:r>
      <w:r>
        <w:t>6 4</w:t>
      </w:r>
      <w:r>
        <w:rPr>
          <w:rFonts w:hint="eastAsia"/>
        </w:rPr>
        <w:t>的规定，并宜符合《交通信息采集视频交通流检测器》GB/T 24726的相关规定。</w:t>
      </w:r>
    </w:p>
    <w:p>
      <w:pPr>
        <w:ind w:firstLine="480"/>
      </w:pPr>
      <w:r>
        <w:t>2</w:t>
      </w:r>
      <w:r>
        <w:rPr>
          <w:rFonts w:hint="eastAsia"/>
        </w:rPr>
        <w:t xml:space="preserve"> 梁端、塔顶转角监测宜采用微电子机械系统倾角传感器。</w:t>
      </w:r>
    </w:p>
    <w:p>
      <w:pPr>
        <w:ind w:firstLine="480"/>
      </w:pPr>
      <w:r>
        <w:rPr>
          <w:rFonts w:hint="eastAsia"/>
        </w:rPr>
        <w:t>3 应变监测宜采用光纤应变传感器、电阻应变传感器、振弦式应变传感器等，静应变监测可采用光纤应变传感器、振弦式应变传感器，动应变监测可采用光纤应变传感器、电阻应变传感器等。应变监测方法应符合《建筑与桥梁结构监测技术规范》GB 50982的相关规定。光纤应变传感器技术指标宜符合《土木工程用光纤光栅应变传感器》JG/T</w:t>
      </w:r>
      <w:r>
        <w:t xml:space="preserve"> </w:t>
      </w:r>
      <w:r>
        <w:rPr>
          <w:rFonts w:hint="eastAsia"/>
        </w:rPr>
        <w:t>422的相关规定，电阻应变传感器技术指标宜符合GB/T</w:t>
      </w:r>
      <w:r>
        <w:t xml:space="preserve"> </w:t>
      </w:r>
      <w:r>
        <w:rPr>
          <w:rFonts w:hint="eastAsia"/>
        </w:rPr>
        <w:t>13992的相关规定，振弦式应变传感器技术指标宜符合《大坝监测仪器 应变计 第二部分：振弦式应变计》GB/T</w:t>
      </w:r>
      <w:r>
        <w:t xml:space="preserve"> </w:t>
      </w:r>
      <w:r>
        <w:rPr>
          <w:rFonts w:hint="eastAsia"/>
        </w:rPr>
        <w:t>3408.2的相关规定。应变传感器选型应</w:t>
      </w:r>
      <w:r>
        <w:t>符合下列规定</w:t>
      </w:r>
      <w:r>
        <w:rPr>
          <w:rFonts w:hint="eastAsia"/>
        </w:rPr>
        <w:t>：</w:t>
      </w:r>
    </w:p>
    <w:p>
      <w:pPr>
        <w:ind w:firstLine="720" w:firstLineChars="300"/>
      </w:pPr>
      <w:r>
        <w:t>1</w:t>
      </w:r>
      <w:r>
        <w:rPr>
          <w:rFonts w:hint="eastAsia"/>
        </w:rPr>
        <w:t>）应变传感器标距应与构件材料性质和被测参数精度要求匹配；</w:t>
      </w:r>
    </w:p>
    <w:p>
      <w:pPr>
        <w:ind w:firstLine="720" w:firstLineChars="300"/>
      </w:pPr>
      <w:r>
        <w:t>2</w:t>
      </w:r>
      <w:r>
        <w:rPr>
          <w:rFonts w:hint="eastAsia"/>
        </w:rPr>
        <w:t>）静应变传感器量程应大于等于被测量预计变化范围的1.2倍，动应变传感器量程应大于等于预测被测量变化范围的2倍；</w:t>
      </w:r>
    </w:p>
    <w:p>
      <w:pPr>
        <w:ind w:firstLine="720" w:firstLineChars="300"/>
      </w:pPr>
      <w:r>
        <w:t>3</w:t>
      </w:r>
      <w:r>
        <w:rPr>
          <w:rFonts w:hint="eastAsia"/>
        </w:rPr>
        <w:t>）三向静态和动态监测应变测点可选择应变花；</w:t>
      </w:r>
    </w:p>
    <w:p>
      <w:pPr>
        <w:ind w:firstLine="720" w:firstLineChars="300"/>
      </w:pPr>
      <w:r>
        <w:t>4</w:t>
      </w:r>
      <w:r>
        <w:rPr>
          <w:rFonts w:hint="eastAsia"/>
        </w:rPr>
        <w:t>）应变监测应进行温度补偿，安装时应测量记录初始值。</w:t>
      </w:r>
    </w:p>
    <w:p>
      <w:pPr>
        <w:ind w:firstLine="480"/>
      </w:pPr>
      <w:r>
        <w:rPr>
          <w:rFonts w:hint="eastAsia"/>
        </w:rPr>
        <w:t>4 索力监测宜采用间接测力或直接测力法。索力监测传感器量程应大于索力设计值的1.</w:t>
      </w:r>
      <w:r>
        <w:t>5</w:t>
      </w:r>
      <w:r>
        <w:rPr>
          <w:rFonts w:hint="eastAsia"/>
        </w:rPr>
        <w:t>倍，误差应小于被测索力设计值的5%，监测方法应符合《建筑与桥梁结构监测技术规范》GB 50982的相关规定。间接测力法宜采用频率法或电磁弹式传感器，频率法可选用电容式加速度传感器、压电式加速度传感器，电容式加速度传感器技术指标宜符合《电容式加速度传感器校准规范》JJF 1918的相关规定。直接测力法可采用锚索计，锚索计技术指标宜符合《水运工程 钢弦式锚索测力计》JT/T 578的相关规定。</w:t>
      </w:r>
    </w:p>
    <w:p>
      <w:pPr>
        <w:ind w:firstLine="480"/>
      </w:pPr>
      <w:r>
        <w:rPr>
          <w:rFonts w:hint="eastAsia"/>
        </w:rPr>
        <w:t>5 支座反力监测宜采用直接测力的成品测力支座，误差应小于被测支座标称竖向承载力值的5%。</w:t>
      </w:r>
    </w:p>
    <w:p>
      <w:pPr>
        <w:ind w:firstLine="480"/>
      </w:pPr>
      <w:r>
        <w:rPr>
          <w:rFonts w:hint="eastAsia"/>
        </w:rPr>
        <w:t>6 振动监测宜采用加速度监测方法，应根据桥梁整体及梁、塔、索结构的动力分析结果、基频、振型等选择传感器，确定振动加速度量程、频响范围、横向灵敏度。钢结构宜采用力平衡式加速度传感器或电容式加速度传感器，索和混凝土结构宜采用电容式或压电式加速度传感器，振动监测方法应符合《建筑与桥梁结构监测技术规范》GB 50982的相关规定，并</w:t>
      </w:r>
      <w:r>
        <w:t>符合下列规定</w:t>
      </w:r>
      <w:r>
        <w:rPr>
          <w:rFonts w:hint="eastAsia"/>
        </w:rPr>
        <w:t>：</w:t>
      </w:r>
    </w:p>
    <w:p>
      <w:pPr>
        <w:ind w:firstLine="720" w:firstLineChars="300"/>
      </w:pPr>
      <w:r>
        <w:t>1</w:t>
      </w:r>
      <w:r>
        <w:rPr>
          <w:rFonts w:hint="eastAsia"/>
        </w:rPr>
        <w:t>）宜根据桥梁结构振动主要参与振型，选择三向、双向或单向加速度传感器；</w:t>
      </w:r>
    </w:p>
    <w:p>
      <w:pPr>
        <w:ind w:firstLine="720" w:firstLineChars="300"/>
      </w:pPr>
      <w:r>
        <w:t>2</w:t>
      </w:r>
      <w:r>
        <w:rPr>
          <w:rFonts w:hint="eastAsia"/>
        </w:rPr>
        <w:t>）主梁、塔、主拱振动加速度传感器量程应大于计算分析振动响应最大值的1.2倍，可选用力平衡式加速度传感器；</w:t>
      </w:r>
    </w:p>
    <w:p>
      <w:pPr>
        <w:ind w:firstLine="720" w:firstLineChars="300"/>
      </w:pPr>
      <w:r>
        <w:t>3</w:t>
      </w:r>
      <w:r>
        <w:rPr>
          <w:rFonts w:hint="eastAsia"/>
        </w:rPr>
        <w:t>）悬索桥吊索、斜拉桥斜拉索、拱桥吊杆（索）等索构件振动加速度传感器量程应大于计算分析振动响应最大值的1.5倍，可选用电容式加速度传感器或压电式加速度传感器。</w:t>
      </w:r>
    </w:p>
    <w:p>
      <w:pPr>
        <w:pStyle w:val="4"/>
      </w:pPr>
      <w:r>
        <w:rPr>
          <w:rFonts w:hint="eastAsia"/>
        </w:rPr>
        <w:t>结构变化监测传感器应</w:t>
      </w:r>
      <w:r>
        <w:t>符合下列规定</w:t>
      </w:r>
      <w:r>
        <w:rPr>
          <w:rFonts w:hint="eastAsia"/>
        </w:rPr>
        <w:t>：</w:t>
      </w:r>
    </w:p>
    <w:p>
      <w:pPr>
        <w:ind w:firstLine="480"/>
      </w:pPr>
      <w:r>
        <w:rPr>
          <w:rFonts w:hint="eastAsia"/>
        </w:rPr>
        <w:t>1 基础冲刷监测应根据桥址处水流速度、含沙量等水文参数以及设计允许冲刷深度，综合选定监测设备类型。宜采用声学监测方法监测冲刷深度，采用雷达法监测水流速度，监测传感器应</w:t>
      </w:r>
      <w:r>
        <w:t>符合下列规定</w:t>
      </w:r>
      <w:r>
        <w:rPr>
          <w:rFonts w:hint="eastAsia"/>
        </w:rPr>
        <w:t>：</w:t>
      </w:r>
    </w:p>
    <w:p>
      <w:pPr>
        <w:ind w:firstLine="720" w:firstLineChars="300"/>
      </w:pPr>
      <w:r>
        <w:t>1</w:t>
      </w:r>
      <w:r>
        <w:rPr>
          <w:rFonts w:hint="eastAsia"/>
        </w:rPr>
        <w:t>）传感探头类型和数量应根据被测墩身基础类型、尺寸和水流特点确定，传感器探头宜安装在承台底部或桩顶部位置，距离被测墩身处水底面的距离宜大于等于10m；</w:t>
      </w:r>
    </w:p>
    <w:p>
      <w:pPr>
        <w:ind w:firstLine="720" w:firstLineChars="300"/>
      </w:pPr>
      <w:r>
        <w:t>2</w:t>
      </w:r>
      <w:r>
        <w:rPr>
          <w:rFonts w:hint="eastAsia"/>
        </w:rPr>
        <w:t>）应通过试验确定传感探头的指向角度，控制探头与桥墩的合理距离；</w:t>
      </w:r>
    </w:p>
    <w:p>
      <w:pPr>
        <w:ind w:firstLine="720" w:firstLineChars="300"/>
      </w:pPr>
      <w:r>
        <w:t>3</w:t>
      </w:r>
      <w:r>
        <w:rPr>
          <w:rFonts w:hint="eastAsia"/>
        </w:rPr>
        <w:t>）应根据监测区域水流速度、压力、含沙量等水文特点，进行声传感探头预埋安装件专项设计，预埋安装件应与桥墩（台）结构长期牢固连接。声呐探头宜选用可拆卸安装方式，安装连接材料应满足防水、耐老化、耐侵蚀等要求。</w:t>
      </w:r>
    </w:p>
    <w:p>
      <w:pPr>
        <w:ind w:firstLine="480"/>
      </w:pPr>
      <w:r>
        <w:rPr>
          <w:rFonts w:hint="eastAsia"/>
        </w:rPr>
        <w:t>2 悬索桥锚碇位移、梁桥桥墩沉降、拱桥拱脚位移监测宜设置桥梁永久观测点定期观测或GNSS静态观测方法，且应满足下列规定：</w:t>
      </w:r>
    </w:p>
    <w:p>
      <w:pPr>
        <w:ind w:firstLine="720" w:firstLineChars="300"/>
      </w:pPr>
      <w:r>
        <w:t>1</w:t>
      </w:r>
      <w:r>
        <w:rPr>
          <w:rFonts w:hint="eastAsia"/>
        </w:rPr>
        <w:t>）永久观测点应安装永久固定金属测标，永久观测点设置应符合《城市桥梁养护技术标准》C</w:t>
      </w:r>
      <w:r>
        <w:t>JJ 9</w:t>
      </w:r>
      <w:r>
        <w:rPr>
          <w:rFonts w:hint="eastAsia"/>
        </w:rPr>
        <w:t>9的相关规定；</w:t>
      </w:r>
    </w:p>
    <w:p>
      <w:pPr>
        <w:ind w:firstLine="720" w:firstLineChars="300"/>
      </w:pPr>
      <w:r>
        <w:t>2</w:t>
      </w:r>
      <w:r>
        <w:rPr>
          <w:rFonts w:hint="eastAsia"/>
        </w:rPr>
        <w:t>）GNSS监测宜采用北斗卫星导航技术，GNSS监测应配置永久观测基准站，应符合《</w:t>
      </w:r>
      <w:r>
        <w:t>低轨星载GNSS测量型接收机通用规范</w:t>
      </w:r>
      <w:r>
        <w:rPr>
          <w:rFonts w:hint="eastAsia"/>
        </w:rPr>
        <w:t>》GB/T 39410的相关规定。</w:t>
      </w:r>
    </w:p>
    <w:p>
      <w:pPr>
        <w:ind w:firstLine="480"/>
      </w:pPr>
      <w:r>
        <w:rPr>
          <w:rFonts w:hint="eastAsia"/>
        </w:rPr>
        <w:t>3 裂缝监测宜采用自动监测、观测或相互结合的方式，裂缝监测传感器量程应大于裂缝宽度的5倍。可采用振弦式裂缝传感器、电阻式裂缝传感器、长标距光纤等光纤式裂缝传感器、高清摄像机等方法监测。监测方法应符合《建筑与桥梁结构监测技术规范》GB 50982的相关规定。摄像机技术参数和指标应符合4.4.</w:t>
      </w:r>
      <w:r>
        <w:t>6 4</w:t>
      </w:r>
      <w:r>
        <w:rPr>
          <w:rFonts w:hint="eastAsia"/>
        </w:rPr>
        <w:t>的要求，并应配置高精度图像自动识别模块。</w:t>
      </w:r>
    </w:p>
    <w:p>
      <w:pPr>
        <w:ind w:firstLine="480"/>
      </w:pPr>
      <w:r>
        <w:rPr>
          <w:rFonts w:hint="eastAsia"/>
        </w:rPr>
        <w:t>4 腐蚀监测宜选用电化学方法，腐蚀监测传感器宜选用沿混凝土保护层深度安装多电极传感器，可监测腐蚀电位、腐蚀电流、混凝土温度、腐蚀速率等参数，监测方法应符合《建筑与桥梁结构监测技术规范》GB 50982的相关规定。技术参数宜符合《无损检测 电化学检测 总则》GB/T 38894的相关规定。</w:t>
      </w:r>
    </w:p>
    <w:p>
      <w:pPr>
        <w:ind w:firstLine="480"/>
      </w:pPr>
      <w:r>
        <w:rPr>
          <w:rFonts w:hint="eastAsia"/>
        </w:rPr>
        <w:t>5 断丝监测宜采用声发射监测方法，悬索桥吊索和主缆、斜拉桥斜拉索、拱桥吊杆（索）、系杆等裸露于空气中的钢索结构断丝可选用谐振频率较高的声发射传感器，工作温度范围宜为-30℃～70℃，工作频率宜在40kHz～100kHz范围内；埋设于混凝土内的预应力钢索断丝可选用谐振频率稍低的声发射传感器，工作频率宜在10kHz～40kHz范围内。</w:t>
      </w:r>
    </w:p>
    <w:p>
      <w:pPr>
        <w:ind w:firstLine="480"/>
      </w:pPr>
      <w:r>
        <w:rPr>
          <w:rFonts w:hint="eastAsia"/>
        </w:rPr>
        <w:t>6 体外预应力索力变化监测可采用基于电磁原理的测力仪器，电磁弹式索力传感器测量范围为材料的0～0.9倍屈服应力，传感器测力最大允许误差不大于设计索力5%。</w:t>
      </w:r>
    </w:p>
    <w:p>
      <w:pPr>
        <w:ind w:firstLine="480"/>
      </w:pPr>
      <w:r>
        <w:rPr>
          <w:rFonts w:hint="eastAsia"/>
        </w:rPr>
        <w:t>7 螺杆/螺栓紧固力可采用直接测力或间接测力法。直接测力法可选用振弦式或电阻式压力环式传感器。间接测力法可选用超声波法或螺杆/螺栓应变电测法。螺栓滑脱可采用视频图像监测方法，摄像机技术参数和指标应符合4.4.</w:t>
      </w:r>
      <w:r>
        <w:t>6 4</w:t>
      </w:r>
      <w:r>
        <w:rPr>
          <w:rFonts w:hint="eastAsia"/>
        </w:rPr>
        <w:t>的规定，并应配置高精度图像自动识别模块。</w:t>
      </w:r>
    </w:p>
    <w:p>
      <w:pPr>
        <w:ind w:firstLine="480"/>
      </w:pPr>
      <w:r>
        <w:rPr>
          <w:rFonts w:hint="eastAsia"/>
        </w:rPr>
        <w:t>8 索夹滑移监测可选用位移监测法或视频监测法，也可联合使用。摄像机技术参数和指标应符合4.4.</w:t>
      </w:r>
      <w:r>
        <w:t>6 4</w:t>
      </w:r>
      <w:r>
        <w:rPr>
          <w:rFonts w:hint="eastAsia"/>
        </w:rPr>
        <w:t>的规定，并应配置高精度图像自动识别模块。高精度线位移计技术参数指标宜符合《线位移传感器校准规范》JJF 1305的相关规定。</w:t>
      </w:r>
    </w:p>
    <w:p>
      <w:pPr>
        <w:pStyle w:val="4"/>
      </w:pPr>
      <w:r>
        <w:rPr>
          <w:rFonts w:hint="eastAsia"/>
        </w:rPr>
        <w:t>各监测类型所采用的传感器相关要求应满足表4</w:t>
      </w:r>
      <w:r>
        <w:t>.4.10</w:t>
      </w:r>
      <w:r>
        <w:rPr>
          <w:rFonts w:hint="eastAsia"/>
        </w:rPr>
        <w:t>的</w:t>
      </w:r>
      <w:r>
        <w:t>要求</w:t>
      </w:r>
      <w:r>
        <w:rPr>
          <w:rFonts w:hint="eastAsia"/>
        </w:rPr>
        <w:t>。</w:t>
      </w:r>
    </w:p>
    <w:tbl>
      <w:tblPr>
        <w:tblStyle w:val="41"/>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5"/>
        <w:gridCol w:w="4243"/>
        <w:gridCol w:w="1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306" w:type="dxa"/>
            <w:gridSpan w:val="3"/>
            <w:tcBorders>
              <w:top w:val="nil"/>
              <w:left w:val="nil"/>
              <w:bottom w:val="single" w:color="auto" w:sz="4" w:space="0"/>
              <w:right w:val="nil"/>
            </w:tcBorders>
          </w:tcPr>
          <w:p>
            <w:pPr>
              <w:pStyle w:val="38"/>
              <w:rPr>
                <w:rFonts w:cs="宋体"/>
                <w:szCs w:val="24"/>
                <w:lang w:bidi="mn-Mong-CN"/>
              </w:rPr>
            </w:pPr>
            <w:r>
              <w:rPr>
                <w:rFonts w:hint="eastAsia"/>
                <w:szCs w:val="20"/>
                <w:lang w:bidi="mn-Mong-CN"/>
              </w:rPr>
              <w:t xml:space="preserve">表 </w:t>
            </w:r>
            <w:r>
              <w:rPr>
                <w:szCs w:val="20"/>
                <w:lang w:bidi="mn-Mong-CN"/>
              </w:rPr>
              <w:fldChar w:fldCharType="begin"/>
            </w:r>
            <w:r>
              <w:rPr>
                <w:szCs w:val="20"/>
                <w:lang w:bidi="mn-Mong-CN"/>
              </w:rPr>
              <w:instrText xml:space="preserve"> </w:instrText>
            </w:r>
            <w:r>
              <w:rPr>
                <w:rFonts w:hint="eastAsia"/>
                <w:szCs w:val="20"/>
                <w:lang w:bidi="mn-Mong-CN"/>
              </w:rPr>
              <w:instrText xml:space="preserve">STYLEREF 3 \s</w:instrText>
            </w:r>
            <w:r>
              <w:rPr>
                <w:szCs w:val="20"/>
                <w:lang w:bidi="mn-Mong-CN"/>
              </w:rPr>
              <w:instrText xml:space="preserve"> </w:instrText>
            </w:r>
            <w:r>
              <w:rPr>
                <w:szCs w:val="20"/>
                <w:lang w:bidi="mn-Mong-CN"/>
              </w:rPr>
              <w:fldChar w:fldCharType="separate"/>
            </w:r>
            <w:r>
              <w:rPr>
                <w:szCs w:val="20"/>
                <w:lang w:bidi="mn-Mong-CN"/>
              </w:rPr>
              <w:t>4.4.10</w:t>
            </w:r>
            <w:r>
              <w:rPr>
                <w:szCs w:val="20"/>
                <w:lang w:bidi="mn-Mong-CN"/>
              </w:rPr>
              <w:fldChar w:fldCharType="end"/>
            </w:r>
            <w:r>
              <w:rPr>
                <w:rFonts w:cs="宋体"/>
                <w:szCs w:val="24"/>
                <w:lang w:bidi="mn-Mong-CN"/>
              </w:rPr>
              <w:t xml:space="preserve"> </w:t>
            </w:r>
            <w:r>
              <w:rPr>
                <w:rFonts w:hint="eastAsia" w:cs="宋体"/>
                <w:szCs w:val="24"/>
                <w:lang w:bidi="mn-Mong-CN"/>
              </w:rPr>
              <w:t>常用传感器性能指标表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325" w:type="dxa"/>
            <w:tcBorders>
              <w:top w:val="single" w:color="auto" w:sz="4" w:space="0"/>
            </w:tcBorders>
          </w:tcPr>
          <w:p>
            <w:pPr>
              <w:autoSpaceDE w:val="0"/>
              <w:autoSpaceDN w:val="0"/>
              <w:spacing w:before="37" w:line="240" w:lineRule="auto"/>
              <w:ind w:left="122" w:right="104" w:firstLine="0" w:firstLineChars="0"/>
              <w:jc w:val="center"/>
              <w:rPr>
                <w:rFonts w:cs="华光书宋_CNKI"/>
                <w:b/>
                <w:w w:val="105"/>
                <w:kern w:val="0"/>
                <w:sz w:val="21"/>
                <w:szCs w:val="21"/>
                <w:lang w:eastAsia="en-US" w:bidi="mn-Mong-CN"/>
              </w:rPr>
            </w:pPr>
            <w:r>
              <w:rPr>
                <w:rFonts w:hint="eastAsia" w:cs="华光书宋_CNKI"/>
                <w:b/>
                <w:w w:val="105"/>
                <w:kern w:val="0"/>
                <w:sz w:val="21"/>
                <w:szCs w:val="21"/>
                <w:lang w:eastAsia="en-US" w:bidi="mn-Mong-CN"/>
              </w:rPr>
              <w:t>传感器名称</w:t>
            </w:r>
          </w:p>
        </w:tc>
        <w:tc>
          <w:tcPr>
            <w:tcW w:w="4243" w:type="dxa"/>
            <w:tcBorders>
              <w:top w:val="single" w:color="auto" w:sz="4" w:space="0"/>
            </w:tcBorders>
          </w:tcPr>
          <w:p>
            <w:pPr>
              <w:autoSpaceDE w:val="0"/>
              <w:autoSpaceDN w:val="0"/>
              <w:spacing w:before="37" w:line="240" w:lineRule="auto"/>
              <w:ind w:left="122" w:right="104" w:firstLine="0" w:firstLineChars="0"/>
              <w:jc w:val="center"/>
              <w:rPr>
                <w:rFonts w:cs="华光书宋_CNKI"/>
                <w:b/>
                <w:w w:val="105"/>
                <w:kern w:val="0"/>
                <w:sz w:val="21"/>
                <w:szCs w:val="21"/>
                <w:lang w:eastAsia="en-US" w:bidi="mn-Mong-CN"/>
              </w:rPr>
            </w:pPr>
            <w:r>
              <w:rPr>
                <w:rFonts w:hint="eastAsia" w:cs="华光书宋_CNKI"/>
                <w:b/>
                <w:w w:val="105"/>
                <w:kern w:val="0"/>
                <w:sz w:val="21"/>
                <w:szCs w:val="21"/>
                <w:lang w:eastAsia="en-US" w:bidi="mn-Mong-CN"/>
              </w:rPr>
              <w:t>技术指标</w:t>
            </w:r>
          </w:p>
        </w:tc>
        <w:tc>
          <w:tcPr>
            <w:tcW w:w="1738" w:type="dxa"/>
            <w:tcBorders>
              <w:top w:val="single" w:color="auto" w:sz="4" w:space="0"/>
            </w:tcBorders>
          </w:tcPr>
          <w:p>
            <w:pPr>
              <w:autoSpaceDE w:val="0"/>
              <w:autoSpaceDN w:val="0"/>
              <w:spacing w:before="37" w:line="240" w:lineRule="auto"/>
              <w:ind w:left="122" w:right="104" w:firstLine="0" w:firstLineChars="0"/>
              <w:jc w:val="center"/>
              <w:rPr>
                <w:rFonts w:cs="华光书宋_CNKI"/>
                <w:b/>
                <w:w w:val="105"/>
                <w:kern w:val="0"/>
                <w:sz w:val="21"/>
                <w:szCs w:val="21"/>
                <w:lang w:eastAsia="en-US" w:bidi="mn-Mong-CN"/>
              </w:rPr>
            </w:pPr>
            <w:r>
              <w:rPr>
                <w:rFonts w:hint="eastAsia" w:cs="华光书宋_CNKI"/>
                <w:b/>
                <w:w w:val="105"/>
                <w:kern w:val="0"/>
                <w:sz w:val="21"/>
                <w:szCs w:val="21"/>
                <w:lang w:eastAsia="en-US" w:bidi="mn-Mong-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超声风速风向仪</w:t>
            </w:r>
          </w:p>
        </w:tc>
        <w:tc>
          <w:tcPr>
            <w:tcW w:w="4243" w:type="dxa"/>
          </w:tcPr>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1</w:t>
            </w:r>
            <w:r>
              <w:rPr>
                <w:rFonts w:hint="eastAsia" w:cs="华光书宋_CNKI"/>
                <w:w w:val="105"/>
                <w:kern w:val="0"/>
                <w:sz w:val="21"/>
                <w:szCs w:val="21"/>
                <w:lang w:bidi="mn-Mong-CN"/>
              </w:rPr>
              <w:t>）风速测量范围：（0～</w:t>
            </w:r>
            <w:r>
              <w:rPr>
                <w:rFonts w:cs="华光书宋_CNKI"/>
                <w:w w:val="105"/>
                <w:kern w:val="0"/>
                <w:sz w:val="21"/>
                <w:szCs w:val="21"/>
                <w:lang w:bidi="mn-Mong-CN"/>
              </w:rPr>
              <w:t>60）</w:t>
            </w:r>
            <w:r>
              <w:rPr>
                <w:rFonts w:hint="eastAsia" w:cs="华光书宋_CNKI"/>
                <w:w w:val="105"/>
                <w:kern w:val="0"/>
                <w:sz w:val="21"/>
                <w:szCs w:val="21"/>
                <w:lang w:bidi="mn-Mong-CN"/>
              </w:rPr>
              <w:t>m/s</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2）风速分辨率：±</w:t>
            </w:r>
            <w:r>
              <w:rPr>
                <w:rFonts w:cs="华光书宋_CNKI"/>
                <w:w w:val="105"/>
                <w:kern w:val="0"/>
                <w:sz w:val="21"/>
                <w:szCs w:val="21"/>
                <w:lang w:bidi="mn-Mong-CN"/>
              </w:rPr>
              <w:t>0</w:t>
            </w:r>
            <w:r>
              <w:rPr>
                <w:rFonts w:hint="eastAsia" w:cs="华光书宋_CNKI"/>
                <w:w w:val="105"/>
                <w:kern w:val="0"/>
                <w:sz w:val="21"/>
                <w:szCs w:val="21"/>
                <w:lang w:bidi="mn-Mong-CN"/>
              </w:rPr>
              <w:t>.0</w:t>
            </w:r>
            <w:r>
              <w:rPr>
                <w:rFonts w:cs="华光书宋_CNKI"/>
                <w:w w:val="105"/>
                <w:kern w:val="0"/>
                <w:sz w:val="21"/>
                <w:szCs w:val="21"/>
                <w:lang w:bidi="mn-Mong-CN"/>
              </w:rPr>
              <w:t>1m/s</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3</w:t>
            </w:r>
            <w:r>
              <w:rPr>
                <w:rFonts w:hint="eastAsia" w:cs="华光书宋_CNKI"/>
                <w:w w:val="105"/>
                <w:kern w:val="0"/>
                <w:sz w:val="21"/>
                <w:szCs w:val="21"/>
                <w:lang w:bidi="mn-Mong-CN"/>
              </w:rPr>
              <w:t>）风速测量精度：≤</w:t>
            </w:r>
            <w:r>
              <w:rPr>
                <w:rFonts w:cs="华光书宋_CNKI"/>
                <w:w w:val="105"/>
                <w:kern w:val="0"/>
                <w:sz w:val="21"/>
                <w:szCs w:val="21"/>
                <w:lang w:bidi="mn-Mong-CN"/>
              </w:rPr>
              <w:t>0</w:t>
            </w:r>
            <w:r>
              <w:rPr>
                <w:rFonts w:hint="eastAsia" w:cs="华光书宋_CNKI"/>
                <w:w w:val="105"/>
                <w:kern w:val="0"/>
                <w:sz w:val="21"/>
                <w:szCs w:val="21"/>
                <w:lang w:bidi="mn-Mong-CN"/>
              </w:rPr>
              <w:t>.</w:t>
            </w:r>
            <w:r>
              <w:rPr>
                <w:rFonts w:cs="华光书宋_CNKI"/>
                <w:w w:val="105"/>
                <w:kern w:val="0"/>
                <w:sz w:val="21"/>
                <w:szCs w:val="21"/>
                <w:lang w:bidi="mn-Mong-CN"/>
              </w:rPr>
              <w:t>3m/s</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4</w:t>
            </w:r>
            <w:r>
              <w:rPr>
                <w:rFonts w:hint="eastAsia" w:cs="华光书宋_CNKI"/>
                <w:w w:val="105"/>
                <w:kern w:val="0"/>
                <w:sz w:val="21"/>
                <w:szCs w:val="21"/>
                <w:lang w:bidi="mn-Mong-CN"/>
              </w:rPr>
              <w:t>）风向方位角测量范围：0°～</w:t>
            </w:r>
            <w:r>
              <w:rPr>
                <w:rFonts w:cs="华光书宋_CNKI"/>
                <w:w w:val="105"/>
                <w:kern w:val="0"/>
                <w:sz w:val="21"/>
                <w:szCs w:val="21"/>
                <w:lang w:bidi="mn-Mong-CN"/>
              </w:rPr>
              <w:t>360</w:t>
            </w:r>
            <w:r>
              <w:rPr>
                <w:rFonts w:hint="eastAsia" w:cs="华光书宋_CNKI"/>
                <w:w w:val="105"/>
                <w:kern w:val="0"/>
                <w:sz w:val="21"/>
                <w:szCs w:val="21"/>
                <w:lang w:bidi="mn-Mong-CN"/>
              </w:rPr>
              <w:t>°</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5）风向分辨率：0</w:t>
            </w:r>
            <w:r>
              <w:rPr>
                <w:rFonts w:cs="华光书宋_CNKI"/>
                <w:w w:val="105"/>
                <w:kern w:val="0"/>
                <w:sz w:val="21"/>
                <w:szCs w:val="21"/>
                <w:lang w:bidi="mn-Mong-CN"/>
              </w:rPr>
              <w:t>.1</w:t>
            </w:r>
            <w:r>
              <w:rPr>
                <w:rFonts w:hint="eastAsia" w:cs="华光书宋_CNKI"/>
                <w:w w:val="105"/>
                <w:kern w:val="0"/>
                <w:sz w:val="21"/>
                <w:szCs w:val="21"/>
                <w:lang w:bidi="mn-Mong-CN"/>
              </w:rPr>
              <w:t>°</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6</w:t>
            </w:r>
            <w:r>
              <w:rPr>
                <w:rFonts w:hint="eastAsia" w:cs="华光书宋_CNKI"/>
                <w:w w:val="105"/>
                <w:kern w:val="0"/>
                <w:sz w:val="21"/>
                <w:szCs w:val="21"/>
                <w:lang w:bidi="mn-Mong-CN"/>
              </w:rPr>
              <w:t>）风向测量精度</w:t>
            </w:r>
            <w:r>
              <w:rPr>
                <w:rFonts w:cs="华光书宋_CNKI"/>
                <w:w w:val="105"/>
                <w:kern w:val="0"/>
                <w:sz w:val="21"/>
                <w:szCs w:val="21"/>
                <w:lang w:bidi="mn-Mong-CN"/>
              </w:rPr>
              <w:t>：</w:t>
            </w:r>
            <w:r>
              <w:rPr>
                <w:rFonts w:hint="eastAsia" w:cs="华光书宋_CNKI"/>
                <w:w w:val="105"/>
                <w:kern w:val="0"/>
                <w:sz w:val="21"/>
                <w:szCs w:val="21"/>
                <w:lang w:bidi="mn-Mong-CN"/>
              </w:rPr>
              <w:t>≤±</w:t>
            </w:r>
            <w:r>
              <w:rPr>
                <w:rFonts w:cs="华光书宋_CNKI"/>
                <w:w w:val="105"/>
                <w:kern w:val="0"/>
                <w:sz w:val="21"/>
                <w:szCs w:val="21"/>
                <w:lang w:bidi="mn-Mong-CN"/>
              </w:rPr>
              <w:t>1°</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7）采样频率：≥1</w:t>
            </w:r>
            <w:r>
              <w:rPr>
                <w:rFonts w:cs="华光书宋_CNKI"/>
                <w:w w:val="105"/>
                <w:kern w:val="0"/>
                <w:sz w:val="21"/>
                <w:szCs w:val="21"/>
                <w:lang w:bidi="mn-Mong-CN"/>
              </w:rPr>
              <w:t>0</w:t>
            </w:r>
            <w:r>
              <w:rPr>
                <w:rFonts w:hint="eastAsia" w:cs="华光书宋_CNKI"/>
                <w:w w:val="105"/>
                <w:kern w:val="0"/>
                <w:sz w:val="21"/>
                <w:szCs w:val="21"/>
                <w:lang w:bidi="mn-Mong-CN"/>
              </w:rPr>
              <w:t>Hz</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8</w:t>
            </w:r>
            <w:r>
              <w:rPr>
                <w:rFonts w:hint="eastAsia" w:cs="华光书宋_CNKI"/>
                <w:w w:val="105"/>
                <w:kern w:val="0"/>
                <w:sz w:val="21"/>
                <w:szCs w:val="21"/>
                <w:lang w:bidi="mn-Mong-CN"/>
              </w:rPr>
              <w:t>）工作温度：（-</w:t>
            </w:r>
            <w:r>
              <w:rPr>
                <w:rFonts w:cs="华光书宋_CNKI"/>
                <w:w w:val="105"/>
                <w:kern w:val="0"/>
                <w:sz w:val="21"/>
                <w:szCs w:val="21"/>
                <w:lang w:bidi="mn-Mong-CN"/>
              </w:rPr>
              <w:t>30</w:t>
            </w:r>
            <w:r>
              <w:rPr>
                <w:rFonts w:hint="eastAsia" w:cs="华光书宋_CNKI"/>
                <w:w w:val="105"/>
                <w:kern w:val="0"/>
                <w:sz w:val="21"/>
                <w:szCs w:val="21"/>
                <w:lang w:bidi="mn-Mong-CN"/>
              </w:rPr>
              <w:t>～</w:t>
            </w:r>
            <w:r>
              <w:rPr>
                <w:rFonts w:cs="华光书宋_CNKI"/>
                <w:w w:val="105"/>
                <w:kern w:val="0"/>
                <w:sz w:val="21"/>
                <w:szCs w:val="21"/>
                <w:lang w:bidi="mn-Mong-CN"/>
              </w:rPr>
              <w:t>65</w:t>
            </w:r>
            <w:r>
              <w:rPr>
                <w:rFonts w:hint="eastAsia" w:cs="华光书宋_CNKI"/>
                <w:w w:val="105"/>
                <w:kern w:val="0"/>
                <w:sz w:val="21"/>
                <w:szCs w:val="21"/>
                <w:lang w:bidi="mn-Mong-CN"/>
              </w:rPr>
              <w:t>）℃</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9</w:t>
            </w:r>
            <w:r>
              <w:rPr>
                <w:rFonts w:hint="eastAsia" w:cs="华光书宋_CNKI"/>
                <w:w w:val="105"/>
                <w:kern w:val="0"/>
                <w:sz w:val="21"/>
                <w:szCs w:val="21"/>
                <w:lang w:bidi="mn-Mong-CN"/>
              </w:rPr>
              <w:t>）使用寿命：符合现行国家/行业设备标准</w:t>
            </w:r>
          </w:p>
        </w:tc>
        <w:tc>
          <w:tcPr>
            <w:tcW w:w="1738"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风速风向监测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机械式风速风向仪</w:t>
            </w:r>
          </w:p>
        </w:tc>
        <w:tc>
          <w:tcPr>
            <w:tcW w:w="4243" w:type="dxa"/>
          </w:tcPr>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1</w:t>
            </w:r>
            <w:r>
              <w:rPr>
                <w:rFonts w:hint="eastAsia" w:cs="华光书宋_CNKI"/>
                <w:w w:val="105"/>
                <w:kern w:val="0"/>
                <w:sz w:val="21"/>
                <w:szCs w:val="21"/>
                <w:lang w:bidi="mn-Mong-CN"/>
              </w:rPr>
              <w:t>）风速测量范围：（0～</w:t>
            </w:r>
            <w:r>
              <w:rPr>
                <w:rFonts w:cs="华光书宋_CNKI"/>
                <w:w w:val="105"/>
                <w:kern w:val="0"/>
                <w:sz w:val="21"/>
                <w:szCs w:val="21"/>
                <w:lang w:bidi="mn-Mong-CN"/>
              </w:rPr>
              <w:t>60）</w:t>
            </w:r>
            <w:r>
              <w:rPr>
                <w:rFonts w:hint="eastAsia" w:cs="华光书宋_CNKI"/>
                <w:w w:val="105"/>
                <w:kern w:val="0"/>
                <w:sz w:val="21"/>
                <w:szCs w:val="21"/>
                <w:lang w:bidi="mn-Mong-CN"/>
              </w:rPr>
              <w:t>m/s</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3</w:t>
            </w:r>
            <w:r>
              <w:rPr>
                <w:rFonts w:hint="eastAsia" w:cs="华光书宋_CNKI"/>
                <w:w w:val="105"/>
                <w:kern w:val="0"/>
                <w:sz w:val="21"/>
                <w:szCs w:val="21"/>
                <w:lang w:bidi="mn-Mong-CN"/>
              </w:rPr>
              <w:t>）风速测量精度：≤</w:t>
            </w:r>
            <w:r>
              <w:rPr>
                <w:rFonts w:cs="华光书宋_CNKI"/>
                <w:w w:val="105"/>
                <w:kern w:val="0"/>
                <w:sz w:val="21"/>
                <w:szCs w:val="21"/>
                <w:lang w:bidi="mn-Mong-CN"/>
              </w:rPr>
              <w:t>0</w:t>
            </w:r>
            <w:r>
              <w:rPr>
                <w:rFonts w:hint="eastAsia" w:cs="华光书宋_CNKI"/>
                <w:w w:val="105"/>
                <w:kern w:val="0"/>
                <w:sz w:val="21"/>
                <w:szCs w:val="21"/>
                <w:lang w:bidi="mn-Mong-CN"/>
              </w:rPr>
              <w:t>.</w:t>
            </w:r>
            <w:r>
              <w:rPr>
                <w:rFonts w:cs="华光书宋_CNKI"/>
                <w:w w:val="105"/>
                <w:kern w:val="0"/>
                <w:sz w:val="21"/>
                <w:szCs w:val="21"/>
                <w:lang w:bidi="mn-Mong-CN"/>
              </w:rPr>
              <w:t>3m/s</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4</w:t>
            </w:r>
            <w:r>
              <w:rPr>
                <w:rFonts w:hint="eastAsia" w:cs="华光书宋_CNKI"/>
                <w:w w:val="105"/>
                <w:kern w:val="0"/>
                <w:sz w:val="21"/>
                <w:szCs w:val="21"/>
                <w:lang w:bidi="mn-Mong-CN"/>
              </w:rPr>
              <w:t>）风向方位角测量范围：0°～</w:t>
            </w:r>
            <w:r>
              <w:rPr>
                <w:rFonts w:cs="华光书宋_CNKI"/>
                <w:w w:val="105"/>
                <w:kern w:val="0"/>
                <w:sz w:val="21"/>
                <w:szCs w:val="21"/>
                <w:lang w:bidi="mn-Mong-CN"/>
              </w:rPr>
              <w:t>360</w:t>
            </w:r>
            <w:r>
              <w:rPr>
                <w:rFonts w:hint="eastAsia" w:cs="华光书宋_CNKI"/>
                <w:w w:val="105"/>
                <w:kern w:val="0"/>
                <w:sz w:val="21"/>
                <w:szCs w:val="21"/>
                <w:lang w:bidi="mn-Mong-CN"/>
              </w:rPr>
              <w:t>°</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6</w:t>
            </w:r>
            <w:r>
              <w:rPr>
                <w:rFonts w:hint="eastAsia" w:cs="华光书宋_CNKI"/>
                <w:w w:val="105"/>
                <w:kern w:val="0"/>
                <w:sz w:val="21"/>
                <w:szCs w:val="21"/>
                <w:lang w:bidi="mn-Mong-CN"/>
              </w:rPr>
              <w:t>）风向测量精度</w:t>
            </w:r>
            <w:r>
              <w:rPr>
                <w:rFonts w:cs="华光书宋_CNKI"/>
                <w:w w:val="105"/>
                <w:kern w:val="0"/>
                <w:sz w:val="21"/>
                <w:szCs w:val="21"/>
                <w:lang w:bidi="mn-Mong-CN"/>
              </w:rPr>
              <w:t>：</w:t>
            </w:r>
            <w:r>
              <w:rPr>
                <w:rFonts w:hint="eastAsia" w:cs="华光书宋_CNKI"/>
                <w:w w:val="105"/>
                <w:kern w:val="0"/>
                <w:sz w:val="21"/>
                <w:szCs w:val="21"/>
                <w:lang w:bidi="mn-Mong-CN"/>
              </w:rPr>
              <w:t>≤±3</w:t>
            </w:r>
            <w:r>
              <w:rPr>
                <w:rFonts w:cs="华光书宋_CNKI"/>
                <w:w w:val="105"/>
                <w:kern w:val="0"/>
                <w:sz w:val="21"/>
                <w:szCs w:val="21"/>
                <w:lang w:bidi="mn-Mong-CN"/>
              </w:rPr>
              <w:t>°</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7）采样频率：≥1Hz</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8</w:t>
            </w:r>
            <w:r>
              <w:rPr>
                <w:rFonts w:hint="eastAsia" w:cs="华光书宋_CNKI"/>
                <w:w w:val="105"/>
                <w:kern w:val="0"/>
                <w:sz w:val="21"/>
                <w:szCs w:val="21"/>
                <w:lang w:bidi="mn-Mong-CN"/>
              </w:rPr>
              <w:t>）工作温度：（-</w:t>
            </w:r>
            <w:r>
              <w:rPr>
                <w:rFonts w:cs="华光书宋_CNKI"/>
                <w:w w:val="105"/>
                <w:kern w:val="0"/>
                <w:sz w:val="21"/>
                <w:szCs w:val="21"/>
                <w:lang w:bidi="mn-Mong-CN"/>
              </w:rPr>
              <w:t>30</w:t>
            </w:r>
            <w:r>
              <w:rPr>
                <w:rFonts w:hint="eastAsia" w:cs="华光书宋_CNKI"/>
                <w:w w:val="105"/>
                <w:kern w:val="0"/>
                <w:sz w:val="21"/>
                <w:szCs w:val="21"/>
                <w:lang w:bidi="mn-Mong-CN"/>
              </w:rPr>
              <w:t>～</w:t>
            </w:r>
            <w:r>
              <w:rPr>
                <w:rFonts w:cs="华光书宋_CNKI"/>
                <w:w w:val="105"/>
                <w:kern w:val="0"/>
                <w:sz w:val="21"/>
                <w:szCs w:val="21"/>
                <w:lang w:bidi="mn-Mong-CN"/>
              </w:rPr>
              <w:t>65</w:t>
            </w:r>
            <w:r>
              <w:rPr>
                <w:rFonts w:hint="eastAsia" w:cs="华光书宋_CNKI"/>
                <w:w w:val="105"/>
                <w:kern w:val="0"/>
                <w:sz w:val="21"/>
                <w:szCs w:val="21"/>
                <w:lang w:bidi="mn-Mong-CN"/>
              </w:rPr>
              <w:t>）℃</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9</w:t>
            </w:r>
            <w:r>
              <w:rPr>
                <w:rFonts w:hint="eastAsia" w:cs="华光书宋_CNKI"/>
                <w:w w:val="105"/>
                <w:kern w:val="0"/>
                <w:sz w:val="21"/>
                <w:szCs w:val="21"/>
                <w:lang w:bidi="mn-Mong-CN"/>
              </w:rPr>
              <w:t>）使用寿命：符合现行国家/行业设备标准</w:t>
            </w:r>
          </w:p>
        </w:tc>
        <w:tc>
          <w:tcPr>
            <w:tcW w:w="1738"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风速风向监测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动态称重仪</w:t>
            </w:r>
          </w:p>
        </w:tc>
        <w:tc>
          <w:tcPr>
            <w:tcW w:w="4243" w:type="dxa"/>
          </w:tcPr>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1</w:t>
            </w:r>
            <w:r>
              <w:rPr>
                <w:rFonts w:hint="eastAsia" w:cs="华光书宋_CNKI"/>
                <w:w w:val="105"/>
                <w:kern w:val="0"/>
                <w:sz w:val="21"/>
                <w:szCs w:val="21"/>
                <w:lang w:bidi="mn-Mong-CN"/>
              </w:rPr>
              <w:t>）行车速度范围：（1</w:t>
            </w:r>
            <w:r>
              <w:rPr>
                <w:rFonts w:cs="华光书宋_CNKI"/>
                <w:w w:val="105"/>
                <w:kern w:val="0"/>
                <w:sz w:val="21"/>
                <w:szCs w:val="21"/>
                <w:lang w:bidi="mn-Mong-CN"/>
              </w:rPr>
              <w:t>0</w:t>
            </w:r>
            <w:r>
              <w:rPr>
                <w:rFonts w:hint="eastAsia" w:cs="华光书宋_CNKI"/>
                <w:w w:val="105"/>
                <w:kern w:val="0"/>
                <w:sz w:val="21"/>
                <w:szCs w:val="21"/>
                <w:lang w:bidi="mn-Mong-CN"/>
              </w:rPr>
              <w:t>～</w:t>
            </w:r>
            <w:r>
              <w:rPr>
                <w:rFonts w:cs="华光书宋_CNKI"/>
                <w:w w:val="105"/>
                <w:kern w:val="0"/>
                <w:sz w:val="21"/>
                <w:szCs w:val="21"/>
                <w:lang w:bidi="mn-Mong-CN"/>
              </w:rPr>
              <w:t>200）km/h</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2</w:t>
            </w:r>
            <w:r>
              <w:rPr>
                <w:rFonts w:hint="eastAsia" w:cs="华光书宋_CNKI"/>
                <w:w w:val="105"/>
                <w:kern w:val="0"/>
                <w:sz w:val="21"/>
                <w:szCs w:val="21"/>
                <w:lang w:bidi="mn-Mong-CN"/>
              </w:rPr>
              <w:t>）测速精度：≤±1</w:t>
            </w:r>
            <w:r>
              <w:rPr>
                <w:rFonts w:cs="华光书宋_CNKI"/>
                <w:w w:val="105"/>
                <w:kern w:val="0"/>
                <w:sz w:val="21"/>
                <w:szCs w:val="21"/>
                <w:lang w:bidi="mn-Mong-CN"/>
              </w:rPr>
              <w:t>.5%</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3</w:t>
            </w:r>
            <w:r>
              <w:rPr>
                <w:rFonts w:hint="eastAsia" w:cs="华光书宋_CNKI"/>
                <w:w w:val="105"/>
                <w:kern w:val="0"/>
                <w:sz w:val="21"/>
                <w:szCs w:val="21"/>
                <w:lang w:bidi="mn-Mong-CN"/>
              </w:rPr>
              <w:t>）分离车辆准确可靠：≥</w:t>
            </w:r>
            <w:r>
              <w:rPr>
                <w:rFonts w:cs="华光书宋_CNKI"/>
                <w:w w:val="105"/>
                <w:kern w:val="0"/>
                <w:sz w:val="21"/>
                <w:szCs w:val="21"/>
                <w:lang w:bidi="mn-Mong-CN"/>
              </w:rPr>
              <w:t>98%</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4</w:t>
            </w:r>
            <w:r>
              <w:rPr>
                <w:rFonts w:hint="eastAsia" w:cs="华光书宋_CNKI"/>
                <w:w w:val="105"/>
                <w:kern w:val="0"/>
                <w:sz w:val="21"/>
                <w:szCs w:val="21"/>
                <w:lang w:bidi="mn-Mong-CN"/>
              </w:rPr>
              <w:t>）称重范围：≥</w:t>
            </w:r>
            <w:r>
              <w:rPr>
                <w:rFonts w:cs="华光书宋_CNKI"/>
                <w:w w:val="105"/>
                <w:kern w:val="0"/>
                <w:sz w:val="21"/>
                <w:szCs w:val="21"/>
                <w:lang w:bidi="mn-Mong-CN"/>
              </w:rPr>
              <w:t>300kN/</w:t>
            </w:r>
            <w:r>
              <w:rPr>
                <w:rFonts w:hint="eastAsia" w:cs="华光书宋_CNKI"/>
                <w:w w:val="105"/>
                <w:kern w:val="0"/>
                <w:sz w:val="21"/>
                <w:szCs w:val="21"/>
                <w:lang w:bidi="mn-Mong-CN"/>
              </w:rPr>
              <w:t>轴</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5</w:t>
            </w:r>
            <w:r>
              <w:rPr>
                <w:rFonts w:hint="eastAsia" w:cs="华光书宋_CNKI"/>
                <w:w w:val="105"/>
                <w:kern w:val="0"/>
                <w:sz w:val="21"/>
                <w:szCs w:val="21"/>
                <w:lang w:bidi="mn-Mong-CN"/>
              </w:rPr>
              <w:t>）交通量计数精度：≤±1</w:t>
            </w:r>
            <w:r>
              <w:rPr>
                <w:rFonts w:cs="华光书宋_CNKI"/>
                <w:w w:val="105"/>
                <w:kern w:val="0"/>
                <w:sz w:val="21"/>
                <w:szCs w:val="21"/>
                <w:lang w:bidi="mn-Mong-CN"/>
              </w:rPr>
              <w:t>%</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6</w:t>
            </w:r>
            <w:r>
              <w:rPr>
                <w:rFonts w:hint="eastAsia" w:cs="华光书宋_CNKI"/>
                <w:w w:val="105"/>
                <w:kern w:val="0"/>
                <w:sz w:val="21"/>
                <w:szCs w:val="21"/>
                <w:lang w:bidi="mn-Mong-CN"/>
              </w:rPr>
              <w:t>）轴距误差：≤±1</w:t>
            </w:r>
            <w:r>
              <w:rPr>
                <w:rFonts w:cs="华光书宋_CNKI"/>
                <w:w w:val="105"/>
                <w:kern w:val="0"/>
                <w:sz w:val="21"/>
                <w:szCs w:val="21"/>
                <w:lang w:bidi="mn-Mong-CN"/>
              </w:rPr>
              <w:t>%</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7</w:t>
            </w:r>
            <w:r>
              <w:rPr>
                <w:rFonts w:hint="eastAsia" w:cs="华光书宋_CNKI"/>
                <w:w w:val="105"/>
                <w:kern w:val="0"/>
                <w:sz w:val="21"/>
                <w:szCs w:val="21"/>
                <w:lang w:bidi="mn-Mong-CN"/>
              </w:rPr>
              <w:t>）测重精度：±</w:t>
            </w:r>
            <w:r>
              <w:rPr>
                <w:rFonts w:cs="华光书宋_CNKI"/>
                <w:w w:val="105"/>
                <w:kern w:val="0"/>
                <w:sz w:val="21"/>
                <w:szCs w:val="21"/>
                <w:lang w:bidi="mn-Mong-CN"/>
              </w:rPr>
              <w:t>5%</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8</w:t>
            </w:r>
            <w:r>
              <w:rPr>
                <w:rFonts w:hint="eastAsia" w:cs="华光书宋_CNKI"/>
                <w:w w:val="105"/>
                <w:kern w:val="0"/>
                <w:sz w:val="21"/>
                <w:szCs w:val="21"/>
                <w:lang w:bidi="mn-Mong-CN"/>
              </w:rPr>
              <w:t>）可分类车型：交通部颁布的标准车型</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9</w:t>
            </w:r>
            <w:r>
              <w:rPr>
                <w:rFonts w:hint="eastAsia" w:cs="华光书宋_CNKI"/>
                <w:w w:val="105"/>
                <w:kern w:val="0"/>
                <w:sz w:val="21"/>
                <w:szCs w:val="21"/>
                <w:lang w:bidi="mn-Mong-CN"/>
              </w:rPr>
              <w:t>）工作温度：（－</w:t>
            </w:r>
            <w:r>
              <w:rPr>
                <w:rFonts w:cs="华光书宋_CNKI"/>
                <w:w w:val="105"/>
                <w:kern w:val="0"/>
                <w:sz w:val="21"/>
                <w:szCs w:val="21"/>
                <w:lang w:bidi="mn-Mong-CN"/>
              </w:rPr>
              <w:t>30～85）</w:t>
            </w:r>
            <w:r>
              <w:rPr>
                <w:rFonts w:hint="eastAsia" w:cs="华光书宋_CNKI"/>
                <w:w w:val="105"/>
                <w:kern w:val="0"/>
                <w:sz w:val="21"/>
                <w:szCs w:val="21"/>
                <w:lang w:bidi="mn-Mong-CN"/>
              </w:rPr>
              <w:t>℃</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10</w:t>
            </w:r>
            <w:r>
              <w:rPr>
                <w:rFonts w:hint="eastAsia" w:cs="华光书宋_CNKI"/>
                <w:w w:val="105"/>
                <w:kern w:val="0"/>
                <w:sz w:val="21"/>
                <w:szCs w:val="21"/>
                <w:lang w:bidi="mn-Mong-CN"/>
              </w:rPr>
              <w:t>）使用寿命：符合现行国家/行业设备标准</w:t>
            </w:r>
          </w:p>
        </w:tc>
        <w:tc>
          <w:tcPr>
            <w:tcW w:w="1738"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车辆荷载监测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振动加速度传感器</w:t>
            </w:r>
          </w:p>
        </w:tc>
        <w:tc>
          <w:tcPr>
            <w:tcW w:w="4243" w:type="dxa"/>
          </w:tcPr>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1）</w:t>
            </w:r>
            <w:r>
              <w:rPr>
                <w:rFonts w:hint="eastAsia" w:cs="华光书宋_CNKI"/>
                <w:w w:val="105"/>
                <w:kern w:val="0"/>
                <w:sz w:val="21"/>
                <w:szCs w:val="21"/>
                <w:lang w:bidi="mn-Mong-CN"/>
              </w:rPr>
              <w:t>测量方向（轴数）：≥1</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2）</w:t>
            </w:r>
            <w:r>
              <w:rPr>
                <w:rFonts w:hint="eastAsia" w:cs="华光书宋_CNKI"/>
                <w:w w:val="105"/>
                <w:kern w:val="0"/>
                <w:sz w:val="21"/>
                <w:szCs w:val="21"/>
                <w:lang w:bidi="mn-Mong-CN"/>
              </w:rPr>
              <w:t>测量范围：≥±2</w:t>
            </w:r>
            <w:r>
              <w:rPr>
                <w:rFonts w:cs="华光书宋_CNKI"/>
                <w:w w:val="105"/>
                <w:kern w:val="0"/>
                <w:sz w:val="21"/>
                <w:szCs w:val="21"/>
                <w:lang w:bidi="mn-Mong-CN"/>
              </w:rPr>
              <w:t>g</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3）</w:t>
            </w:r>
            <w:r>
              <w:rPr>
                <w:rFonts w:hint="eastAsia" w:cs="华光书宋_CNKI"/>
                <w:w w:val="105"/>
                <w:kern w:val="0"/>
                <w:sz w:val="21"/>
                <w:szCs w:val="21"/>
                <w:lang w:bidi="mn-Mong-CN"/>
              </w:rPr>
              <w:t>带宽：（</w:t>
            </w:r>
            <w:r>
              <w:rPr>
                <w:rFonts w:cs="华光书宋_CNKI"/>
                <w:w w:val="105"/>
                <w:kern w:val="0"/>
                <w:sz w:val="21"/>
                <w:szCs w:val="21"/>
                <w:lang w:bidi="mn-Mong-CN"/>
              </w:rPr>
              <w:t>0</w:t>
            </w:r>
            <w:r>
              <w:rPr>
                <w:rFonts w:hint="eastAsia" w:cs="华光书宋_CNKI"/>
                <w:w w:val="105"/>
                <w:kern w:val="0"/>
                <w:sz w:val="21"/>
                <w:szCs w:val="21"/>
                <w:lang w:bidi="mn-Mong-CN"/>
              </w:rPr>
              <w:t>～</w:t>
            </w:r>
            <w:r>
              <w:rPr>
                <w:rFonts w:cs="华光书宋_CNKI"/>
                <w:w w:val="105"/>
                <w:kern w:val="0"/>
                <w:sz w:val="21"/>
                <w:szCs w:val="21"/>
                <w:lang w:bidi="mn-Mong-CN"/>
              </w:rPr>
              <w:t>100）H</w:t>
            </w:r>
            <w:r>
              <w:rPr>
                <w:rFonts w:hint="eastAsia" w:cs="华光书宋_CNKI"/>
                <w:w w:val="105"/>
                <w:kern w:val="0"/>
                <w:sz w:val="21"/>
                <w:szCs w:val="21"/>
                <w:lang w:bidi="mn-Mong-CN"/>
              </w:rPr>
              <w:t>z</w:t>
            </w:r>
            <w:r>
              <w:rPr>
                <w:rFonts w:cs="华光书宋_CNKI"/>
                <w:w w:val="105"/>
                <w:kern w:val="0"/>
                <w:sz w:val="21"/>
                <w:szCs w:val="21"/>
                <w:lang w:bidi="mn-Mong-CN"/>
              </w:rPr>
              <w:t xml:space="preserve"> </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4）</w:t>
            </w:r>
            <w:r>
              <w:rPr>
                <w:rFonts w:hint="eastAsia" w:cs="华光书宋_CNKI"/>
                <w:w w:val="105"/>
                <w:kern w:val="0"/>
                <w:sz w:val="21"/>
                <w:szCs w:val="21"/>
                <w:lang w:bidi="mn-Mong-CN"/>
              </w:rPr>
              <w:t>分辨率：≤</w:t>
            </w:r>
            <w:r>
              <w:rPr>
                <w:rFonts w:cs="华光书宋_CNKI"/>
                <w:w w:val="105"/>
                <w:kern w:val="0"/>
                <w:sz w:val="21"/>
                <w:szCs w:val="21"/>
                <w:lang w:bidi="mn-Mong-CN"/>
              </w:rPr>
              <w:t>10</w:t>
            </w:r>
            <w:r>
              <w:rPr>
                <w:rFonts w:cs="华光书宋_CNKI"/>
                <w:w w:val="105"/>
                <w:kern w:val="0"/>
                <w:sz w:val="21"/>
                <w:szCs w:val="21"/>
                <w:lang w:eastAsia="en-US" w:bidi="mn-Mong-CN"/>
              </w:rPr>
              <w:t>μ</w:t>
            </w:r>
            <w:r>
              <w:rPr>
                <w:rFonts w:hint="eastAsia" w:cs="华光书宋_CNKI"/>
                <w:w w:val="105"/>
                <w:kern w:val="0"/>
                <w:sz w:val="21"/>
                <w:szCs w:val="21"/>
                <w:lang w:bidi="mn-Mong-CN"/>
              </w:rPr>
              <w:t>g</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5）</w:t>
            </w:r>
            <w:r>
              <w:rPr>
                <w:rFonts w:hint="eastAsia" w:cs="华光书宋_CNKI"/>
                <w:w w:val="105"/>
                <w:kern w:val="0"/>
                <w:sz w:val="21"/>
                <w:szCs w:val="21"/>
                <w:lang w:bidi="mn-Mong-CN"/>
              </w:rPr>
              <w:t>灵敏度：≥2</w:t>
            </w:r>
            <w:r>
              <w:rPr>
                <w:rFonts w:cs="华光书宋_CNKI"/>
                <w:w w:val="105"/>
                <w:kern w:val="0"/>
                <w:sz w:val="21"/>
                <w:szCs w:val="21"/>
                <w:lang w:bidi="mn-Mong-CN"/>
              </w:rPr>
              <w:t>500mv/g</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6）</w:t>
            </w:r>
            <w:r>
              <w:rPr>
                <w:rFonts w:hint="eastAsia" w:cs="华光书宋_CNKI"/>
                <w:w w:val="105"/>
                <w:kern w:val="0"/>
                <w:sz w:val="21"/>
                <w:szCs w:val="21"/>
                <w:lang w:bidi="mn-Mong-CN"/>
              </w:rPr>
              <w:t>横向灵敏度比：</w:t>
            </w:r>
            <w:r>
              <w:rPr>
                <w:rFonts w:cs="华光书宋_CNKI"/>
                <w:w w:val="105"/>
                <w:kern w:val="0"/>
                <w:sz w:val="21"/>
                <w:szCs w:val="21"/>
                <w:lang w:bidi="mn-Mong-CN"/>
              </w:rPr>
              <w:t>&lt;1%</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7）</w:t>
            </w:r>
            <w:r>
              <w:rPr>
                <w:rFonts w:hint="eastAsia" w:cs="华光书宋_CNKI"/>
                <w:w w:val="105"/>
                <w:kern w:val="0"/>
                <w:sz w:val="21"/>
                <w:szCs w:val="21"/>
                <w:lang w:bidi="mn-Mong-CN"/>
              </w:rPr>
              <w:t>抗冲击极限：＞2</w:t>
            </w:r>
            <w:r>
              <w:rPr>
                <w:rFonts w:cs="华光书宋_CNKI"/>
                <w:w w:val="105"/>
                <w:kern w:val="0"/>
                <w:sz w:val="21"/>
                <w:szCs w:val="21"/>
                <w:lang w:bidi="mn-Mong-CN"/>
              </w:rPr>
              <w:t>50</w:t>
            </w:r>
            <w:r>
              <w:rPr>
                <w:rFonts w:hint="eastAsia" w:cs="华光书宋_CNKI"/>
                <w:w w:val="105"/>
                <w:kern w:val="0"/>
                <w:sz w:val="21"/>
                <w:szCs w:val="21"/>
                <w:lang w:bidi="mn-Mong-CN"/>
              </w:rPr>
              <w:t>g</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8）</w:t>
            </w:r>
            <w:r>
              <w:rPr>
                <w:rFonts w:hint="eastAsia" w:cs="华光书宋_CNKI"/>
                <w:w w:val="105"/>
                <w:kern w:val="0"/>
                <w:sz w:val="21"/>
                <w:szCs w:val="21"/>
                <w:lang w:bidi="mn-Mong-CN"/>
              </w:rPr>
              <w:t>工作温度：（</w:t>
            </w:r>
            <w:r>
              <w:rPr>
                <w:rFonts w:cs="华光书宋_CNKI"/>
                <w:w w:val="105"/>
                <w:kern w:val="0"/>
                <w:sz w:val="21"/>
                <w:szCs w:val="21"/>
                <w:lang w:bidi="mn-Mong-CN"/>
              </w:rPr>
              <w:t>-30</w:t>
            </w:r>
            <w:r>
              <w:rPr>
                <w:rFonts w:hint="eastAsia" w:cs="华光书宋_CNKI"/>
                <w:w w:val="105"/>
                <w:kern w:val="0"/>
                <w:sz w:val="21"/>
                <w:szCs w:val="21"/>
                <w:lang w:bidi="mn-Mong-CN"/>
              </w:rPr>
              <w:t>～</w:t>
            </w:r>
            <w:r>
              <w:rPr>
                <w:rFonts w:cs="华光书宋_CNKI"/>
                <w:w w:val="105"/>
                <w:kern w:val="0"/>
                <w:sz w:val="21"/>
                <w:szCs w:val="21"/>
                <w:lang w:bidi="mn-Mong-CN"/>
              </w:rPr>
              <w:t>65）</w:t>
            </w:r>
            <w:r>
              <w:rPr>
                <w:rFonts w:hint="eastAsia" w:cs="华光书宋_CNKI"/>
                <w:w w:val="105"/>
                <w:kern w:val="0"/>
                <w:sz w:val="21"/>
                <w:szCs w:val="21"/>
                <w:lang w:bidi="mn-Mong-CN"/>
              </w:rPr>
              <w:t>℃</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9）</w:t>
            </w:r>
            <w:r>
              <w:rPr>
                <w:rFonts w:hint="eastAsia" w:cs="华光书宋_CNKI"/>
                <w:w w:val="105"/>
                <w:kern w:val="0"/>
                <w:sz w:val="21"/>
                <w:szCs w:val="21"/>
                <w:lang w:bidi="mn-Mong-CN"/>
              </w:rPr>
              <w:t>使用寿命：符合现行国家／行业设备标准</w:t>
            </w:r>
          </w:p>
        </w:tc>
        <w:tc>
          <w:tcPr>
            <w:tcW w:w="1738" w:type="dxa"/>
            <w:vAlign w:val="center"/>
          </w:tcPr>
          <w:p>
            <w:pPr>
              <w:autoSpaceDE w:val="0"/>
              <w:autoSpaceDN w:val="0"/>
              <w:spacing w:before="37" w:line="240" w:lineRule="auto"/>
              <w:ind w:left="122" w:right="104" w:firstLine="0" w:firstLineChars="0"/>
              <w:jc w:val="center"/>
              <w:rPr>
                <w:rFonts w:cs="华光书宋_CNKI"/>
                <w:w w:val="105"/>
                <w:kern w:val="0"/>
                <w:sz w:val="21"/>
                <w:szCs w:val="21"/>
                <w:lang w:bidi="mn-Mong-CN"/>
              </w:rPr>
            </w:pPr>
            <w:r>
              <w:rPr>
                <w:rFonts w:hint="eastAsia" w:cs="华光书宋_CNKI"/>
                <w:w w:val="105"/>
                <w:kern w:val="0"/>
                <w:sz w:val="21"/>
                <w:szCs w:val="21"/>
                <w:lang w:bidi="mn-Mong-CN"/>
              </w:rPr>
              <w:t>地震、桥梁振动和撞击监测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索力加速度传感器</w:t>
            </w:r>
          </w:p>
        </w:tc>
        <w:tc>
          <w:tcPr>
            <w:tcW w:w="4243" w:type="dxa"/>
          </w:tcPr>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1）</w:t>
            </w:r>
            <w:r>
              <w:rPr>
                <w:rFonts w:hint="eastAsia" w:cs="华光书宋_CNKI"/>
                <w:w w:val="105"/>
                <w:kern w:val="0"/>
                <w:sz w:val="21"/>
                <w:szCs w:val="21"/>
                <w:lang w:bidi="mn-Mong-CN"/>
              </w:rPr>
              <w:t>测量方向（轴数）：</w:t>
            </w:r>
            <w:r>
              <w:rPr>
                <w:rFonts w:cs="华光书宋_CNKI"/>
                <w:w w:val="105"/>
                <w:kern w:val="0"/>
                <w:sz w:val="21"/>
                <w:szCs w:val="21"/>
                <w:lang w:bidi="mn-Mong-CN"/>
              </w:rPr>
              <w:t>1</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2）</w:t>
            </w:r>
            <w:r>
              <w:rPr>
                <w:rFonts w:hint="eastAsia" w:cs="华光书宋_CNKI"/>
                <w:w w:val="105"/>
                <w:kern w:val="0"/>
                <w:sz w:val="21"/>
                <w:szCs w:val="21"/>
                <w:lang w:bidi="mn-Mong-CN"/>
              </w:rPr>
              <w:t>测量范围：≥±2</w:t>
            </w:r>
            <w:r>
              <w:rPr>
                <w:rFonts w:cs="华光书宋_CNKI"/>
                <w:w w:val="105"/>
                <w:kern w:val="0"/>
                <w:sz w:val="21"/>
                <w:szCs w:val="21"/>
                <w:lang w:bidi="mn-Mong-CN"/>
              </w:rPr>
              <w:t>g</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3）</w:t>
            </w:r>
            <w:r>
              <w:rPr>
                <w:rFonts w:hint="eastAsia" w:cs="华光书宋_CNKI"/>
                <w:w w:val="105"/>
                <w:kern w:val="0"/>
                <w:sz w:val="21"/>
                <w:szCs w:val="21"/>
                <w:lang w:bidi="mn-Mong-CN"/>
              </w:rPr>
              <w:t>灵敏度：≥</w:t>
            </w:r>
            <w:r>
              <w:rPr>
                <w:rFonts w:cs="华光书宋_CNKI"/>
                <w:w w:val="105"/>
                <w:kern w:val="0"/>
                <w:sz w:val="21"/>
                <w:szCs w:val="21"/>
                <w:lang w:bidi="mn-Mong-CN"/>
              </w:rPr>
              <w:t>1000mv/g</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4）</w:t>
            </w:r>
            <w:r>
              <w:rPr>
                <w:rFonts w:hint="eastAsia" w:cs="华光书宋_CNKI"/>
                <w:w w:val="105"/>
                <w:kern w:val="0"/>
                <w:sz w:val="21"/>
                <w:szCs w:val="21"/>
                <w:lang w:bidi="mn-Mong-CN"/>
              </w:rPr>
              <w:t>分辨率：＜</w:t>
            </w:r>
            <w:r>
              <w:rPr>
                <w:rFonts w:cs="华光书宋_CNKI"/>
                <w:w w:val="105"/>
                <w:kern w:val="0"/>
                <w:sz w:val="21"/>
                <w:szCs w:val="21"/>
                <w:lang w:bidi="mn-Mong-CN"/>
              </w:rPr>
              <w:t>10</w:t>
            </w:r>
            <w:r>
              <w:rPr>
                <w:rFonts w:cs="华光书宋_CNKI"/>
                <w:w w:val="105"/>
                <w:kern w:val="0"/>
                <w:sz w:val="21"/>
                <w:szCs w:val="21"/>
                <w:lang w:eastAsia="en-US" w:bidi="mn-Mong-CN"/>
              </w:rPr>
              <w:t>μ</w:t>
            </w:r>
            <w:r>
              <w:rPr>
                <w:rFonts w:hint="eastAsia" w:cs="华光书宋_CNKI"/>
                <w:w w:val="105"/>
                <w:kern w:val="0"/>
                <w:sz w:val="21"/>
                <w:szCs w:val="21"/>
                <w:lang w:bidi="mn-Mong-CN"/>
              </w:rPr>
              <w:t>g</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5）</w:t>
            </w:r>
            <w:r>
              <w:rPr>
                <w:rFonts w:hint="eastAsia" w:cs="华光书宋_CNKI"/>
                <w:w w:val="105"/>
                <w:kern w:val="0"/>
                <w:sz w:val="21"/>
                <w:szCs w:val="21"/>
                <w:lang w:bidi="mn-Mong-CN"/>
              </w:rPr>
              <w:t>频响范围：</w:t>
            </w:r>
            <w:r>
              <w:rPr>
                <w:rFonts w:cs="华光书宋_CNKI"/>
                <w:w w:val="105"/>
                <w:kern w:val="0"/>
                <w:sz w:val="21"/>
                <w:szCs w:val="21"/>
                <w:lang w:bidi="mn-Mong-CN"/>
              </w:rPr>
              <w:t>（0.1</w:t>
            </w:r>
            <w:r>
              <w:rPr>
                <w:rFonts w:hint="eastAsia" w:cs="华光书宋_CNKI"/>
                <w:w w:val="105"/>
                <w:kern w:val="0"/>
                <w:sz w:val="21"/>
                <w:szCs w:val="21"/>
                <w:lang w:bidi="mn-Mong-CN"/>
              </w:rPr>
              <w:t>～</w:t>
            </w:r>
            <w:r>
              <w:rPr>
                <w:rFonts w:cs="华光书宋_CNKI"/>
                <w:w w:val="105"/>
                <w:kern w:val="0"/>
                <w:sz w:val="21"/>
                <w:szCs w:val="21"/>
                <w:lang w:bidi="mn-Mong-CN"/>
              </w:rPr>
              <w:t>100）</w:t>
            </w:r>
            <w:r>
              <w:rPr>
                <w:rFonts w:hint="eastAsia" w:cs="华光书宋_CNKI"/>
                <w:w w:val="105"/>
                <w:kern w:val="0"/>
                <w:sz w:val="21"/>
                <w:szCs w:val="21"/>
                <w:lang w:bidi="mn-Mong-CN"/>
              </w:rPr>
              <w:t>Hz</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6）</w:t>
            </w:r>
            <w:r>
              <w:rPr>
                <w:rFonts w:hint="eastAsia" w:cs="华光书宋_CNKI"/>
                <w:w w:val="105"/>
                <w:kern w:val="0"/>
                <w:sz w:val="21"/>
                <w:szCs w:val="21"/>
                <w:lang w:bidi="mn-Mong-CN"/>
              </w:rPr>
              <w:t>工作温度：</w:t>
            </w:r>
            <w:r>
              <w:rPr>
                <w:rFonts w:cs="华光书宋_CNKI"/>
                <w:w w:val="105"/>
                <w:kern w:val="0"/>
                <w:sz w:val="21"/>
                <w:szCs w:val="21"/>
                <w:lang w:bidi="mn-Mong-CN"/>
              </w:rPr>
              <w:t>（-30</w:t>
            </w:r>
            <w:r>
              <w:rPr>
                <w:rFonts w:hint="eastAsia" w:cs="华光书宋_CNKI"/>
                <w:w w:val="105"/>
                <w:kern w:val="0"/>
                <w:sz w:val="21"/>
                <w:szCs w:val="21"/>
                <w:lang w:bidi="mn-Mong-CN"/>
              </w:rPr>
              <w:t>～</w:t>
            </w:r>
            <w:r>
              <w:rPr>
                <w:rFonts w:cs="华光书宋_CNKI"/>
                <w:w w:val="105"/>
                <w:kern w:val="0"/>
                <w:sz w:val="21"/>
                <w:szCs w:val="21"/>
                <w:lang w:bidi="mn-Mong-CN"/>
              </w:rPr>
              <w:t>65）</w:t>
            </w:r>
            <w:r>
              <w:rPr>
                <w:rFonts w:hint="eastAsia" w:cs="华光书宋_CNKI"/>
                <w:w w:val="105"/>
                <w:kern w:val="0"/>
                <w:sz w:val="21"/>
                <w:szCs w:val="21"/>
                <w:lang w:bidi="mn-Mong-CN"/>
              </w:rPr>
              <w:t>℃</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7）</w:t>
            </w:r>
            <w:r>
              <w:rPr>
                <w:rFonts w:hint="eastAsia" w:cs="华光书宋_CNKI"/>
                <w:w w:val="105"/>
                <w:kern w:val="0"/>
                <w:sz w:val="21"/>
                <w:szCs w:val="21"/>
                <w:lang w:bidi="mn-Mong-CN"/>
              </w:rPr>
              <w:t>使用寿命：符合现行国家／行业设备标准</w:t>
            </w:r>
          </w:p>
        </w:tc>
        <w:tc>
          <w:tcPr>
            <w:tcW w:w="1738"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频率法测量索力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锚索计</w:t>
            </w:r>
          </w:p>
        </w:tc>
        <w:tc>
          <w:tcPr>
            <w:tcW w:w="4243" w:type="dxa"/>
          </w:tcPr>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1）分辨率：≤</w:t>
            </w:r>
            <w:r>
              <w:rPr>
                <w:rFonts w:cs="华光书宋_CNKI"/>
                <w:w w:val="105"/>
                <w:kern w:val="0"/>
                <w:sz w:val="21"/>
                <w:szCs w:val="21"/>
                <w:lang w:bidi="mn-Mong-CN"/>
              </w:rPr>
              <w:t>5</w:t>
            </w:r>
            <w:r>
              <w:rPr>
                <w:rFonts w:hint="eastAsia" w:cs="华光书宋_CNKI"/>
                <w:w w:val="105"/>
                <w:kern w:val="0"/>
                <w:sz w:val="21"/>
                <w:szCs w:val="21"/>
                <w:lang w:bidi="mn-Mong-CN"/>
              </w:rPr>
              <w:t>%</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2）适用量程：大于</w:t>
            </w:r>
            <w:r>
              <w:rPr>
                <w:rFonts w:cs="华光书宋_CNKI"/>
                <w:w w:val="105"/>
                <w:kern w:val="0"/>
                <w:sz w:val="21"/>
                <w:szCs w:val="21"/>
                <w:lang w:bidi="mn-Mong-CN"/>
              </w:rPr>
              <w:t>索力设计</w:t>
            </w:r>
            <w:r>
              <w:rPr>
                <w:rFonts w:hint="eastAsia" w:cs="华光书宋_CNKI"/>
                <w:w w:val="105"/>
                <w:kern w:val="0"/>
                <w:sz w:val="21"/>
                <w:szCs w:val="21"/>
                <w:lang w:bidi="mn-Mong-CN"/>
              </w:rPr>
              <w:t>值</w:t>
            </w:r>
            <w:r>
              <w:rPr>
                <w:rFonts w:cs="华光书宋_CNKI"/>
                <w:w w:val="105"/>
                <w:kern w:val="0"/>
                <w:sz w:val="21"/>
                <w:szCs w:val="21"/>
                <w:lang w:bidi="mn-Mong-CN"/>
              </w:rPr>
              <w:t>的</w:t>
            </w:r>
            <w:r>
              <w:rPr>
                <w:rFonts w:hint="eastAsia" w:cs="华光书宋_CNKI"/>
                <w:w w:val="105"/>
                <w:kern w:val="0"/>
                <w:sz w:val="21"/>
                <w:szCs w:val="21"/>
                <w:lang w:bidi="mn-Mong-CN"/>
              </w:rPr>
              <w:t>1.5倍</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3）零点漂移：≤0.</w:t>
            </w:r>
            <w:r>
              <w:rPr>
                <w:rFonts w:cs="华光书宋_CNKI"/>
                <w:w w:val="105"/>
                <w:kern w:val="0"/>
                <w:sz w:val="21"/>
                <w:szCs w:val="21"/>
                <w:lang w:bidi="mn-Mong-CN"/>
              </w:rPr>
              <w:t>5</w:t>
            </w:r>
            <w:r>
              <w:rPr>
                <w:rFonts w:hint="eastAsia" w:cs="华光书宋_CNKI"/>
                <w:w w:val="105"/>
                <w:kern w:val="0"/>
                <w:sz w:val="21"/>
                <w:szCs w:val="21"/>
                <w:lang w:bidi="mn-Mong-CN"/>
              </w:rPr>
              <w:t>%</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4）工作温度：（-30～65）℃</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5</w:t>
            </w:r>
            <w:r>
              <w:rPr>
                <w:rFonts w:hint="eastAsia" w:cs="华光书宋_CNKI"/>
                <w:w w:val="105"/>
                <w:kern w:val="0"/>
                <w:sz w:val="21"/>
                <w:szCs w:val="21"/>
                <w:lang w:bidi="mn-Mong-CN"/>
              </w:rPr>
              <w:t>）使用寿命：符合现行国家/行业设备标准</w:t>
            </w:r>
          </w:p>
        </w:tc>
        <w:tc>
          <w:tcPr>
            <w:tcW w:w="1738"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索力测量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振弦应变传感器</w:t>
            </w:r>
          </w:p>
        </w:tc>
        <w:tc>
          <w:tcPr>
            <w:tcW w:w="4243" w:type="dxa"/>
          </w:tcPr>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1）</w:t>
            </w:r>
            <w:r>
              <w:rPr>
                <w:rFonts w:hint="eastAsia" w:cs="华光书宋_CNKI"/>
                <w:w w:val="105"/>
                <w:kern w:val="0"/>
                <w:sz w:val="21"/>
                <w:szCs w:val="21"/>
                <w:lang w:bidi="mn-Mong-CN"/>
              </w:rPr>
              <w:t>测量范围：≥±</w:t>
            </w:r>
            <w:r>
              <w:rPr>
                <w:rFonts w:cs="华光书宋_CNKI"/>
                <w:w w:val="105"/>
                <w:kern w:val="0"/>
                <w:sz w:val="21"/>
                <w:szCs w:val="21"/>
                <w:lang w:bidi="mn-Mong-CN"/>
              </w:rPr>
              <w:t>1000</w:t>
            </w:r>
            <w:r>
              <w:rPr>
                <w:rFonts w:cs="华光书宋_CNKI"/>
                <w:kern w:val="0"/>
                <w:sz w:val="21"/>
                <w:szCs w:val="21"/>
                <w:lang w:bidi="mn-Mong-CN"/>
              </w:rPr>
              <w:t>με</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2）</w:t>
            </w:r>
            <w:r>
              <w:rPr>
                <w:rFonts w:hint="eastAsia" w:cs="华光书宋_CNKI"/>
                <w:w w:val="105"/>
                <w:kern w:val="0"/>
                <w:sz w:val="21"/>
                <w:szCs w:val="21"/>
                <w:lang w:bidi="mn-Mong-CN"/>
              </w:rPr>
              <w:t>分辨率：1</w:t>
            </w:r>
            <w:r>
              <w:rPr>
                <w:rFonts w:cs="华光书宋_CNKI"/>
                <w:w w:val="105"/>
                <w:kern w:val="0"/>
                <w:sz w:val="21"/>
                <w:szCs w:val="21"/>
                <w:lang w:eastAsia="en-US" w:bidi="mn-Mong-CN"/>
              </w:rPr>
              <w:t>με</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3）采样频率：≤1Hz</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4）精度：±3</w:t>
            </w:r>
            <w:r>
              <w:rPr>
                <w:rFonts w:cs="华光书宋_CNKI"/>
                <w:w w:val="105"/>
                <w:kern w:val="0"/>
                <w:sz w:val="21"/>
                <w:szCs w:val="21"/>
                <w:lang w:eastAsia="en-US" w:bidi="mn-Mong-CN"/>
              </w:rPr>
              <w:t>με</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5）</w:t>
            </w:r>
            <w:r>
              <w:rPr>
                <w:rFonts w:hint="eastAsia" w:cs="华光书宋_CNKI"/>
                <w:w w:val="105"/>
                <w:kern w:val="0"/>
                <w:sz w:val="21"/>
                <w:szCs w:val="21"/>
                <w:lang w:bidi="mn-Mong-CN"/>
              </w:rPr>
              <w:t>工作温度：（</w:t>
            </w:r>
            <w:r>
              <w:rPr>
                <w:rFonts w:cs="华光书宋_CNKI"/>
                <w:w w:val="105"/>
                <w:kern w:val="0"/>
                <w:sz w:val="21"/>
                <w:szCs w:val="21"/>
                <w:lang w:bidi="mn-Mong-CN"/>
              </w:rPr>
              <w:t>-30</w:t>
            </w:r>
            <w:r>
              <w:rPr>
                <w:rFonts w:hint="eastAsia" w:cs="华光书宋_CNKI"/>
                <w:w w:val="105"/>
                <w:kern w:val="0"/>
                <w:sz w:val="21"/>
                <w:szCs w:val="21"/>
                <w:lang w:bidi="mn-Mong-CN"/>
              </w:rPr>
              <w:t>～</w:t>
            </w:r>
            <w:r>
              <w:rPr>
                <w:rFonts w:cs="华光书宋_CNKI"/>
                <w:w w:val="105"/>
                <w:kern w:val="0"/>
                <w:sz w:val="21"/>
                <w:szCs w:val="21"/>
                <w:lang w:bidi="mn-Mong-CN"/>
              </w:rPr>
              <w:t>85）</w:t>
            </w:r>
            <w:r>
              <w:rPr>
                <w:rFonts w:hint="eastAsia" w:cs="华光书宋_CNKI"/>
                <w:w w:val="105"/>
                <w:kern w:val="0"/>
                <w:sz w:val="21"/>
                <w:szCs w:val="21"/>
                <w:lang w:bidi="mn-Mong-CN"/>
              </w:rPr>
              <w:t>℃</w:t>
            </w:r>
          </w:p>
        </w:tc>
        <w:tc>
          <w:tcPr>
            <w:tcW w:w="1738"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静态应变监测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光纤光栅应变传感器</w:t>
            </w:r>
          </w:p>
        </w:tc>
        <w:tc>
          <w:tcPr>
            <w:tcW w:w="4243" w:type="dxa"/>
          </w:tcPr>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1）</w:t>
            </w:r>
            <w:r>
              <w:rPr>
                <w:rFonts w:hint="eastAsia" w:cs="华光书宋_CNKI"/>
                <w:w w:val="105"/>
                <w:kern w:val="0"/>
                <w:sz w:val="21"/>
                <w:szCs w:val="21"/>
                <w:lang w:bidi="mn-Mong-CN"/>
              </w:rPr>
              <w:t>测量范围：≥±</w:t>
            </w:r>
            <w:r>
              <w:rPr>
                <w:rFonts w:cs="华光书宋_CNKI"/>
                <w:w w:val="105"/>
                <w:kern w:val="0"/>
                <w:sz w:val="21"/>
                <w:szCs w:val="21"/>
                <w:lang w:bidi="mn-Mong-CN"/>
              </w:rPr>
              <w:t>1000</w:t>
            </w:r>
            <w:r>
              <w:rPr>
                <w:rFonts w:cs="华光书宋_CNKI"/>
                <w:kern w:val="0"/>
                <w:sz w:val="21"/>
                <w:szCs w:val="21"/>
                <w:lang w:bidi="mn-Mong-CN"/>
              </w:rPr>
              <w:t>με</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2）</w:t>
            </w:r>
            <w:r>
              <w:rPr>
                <w:rFonts w:hint="eastAsia" w:cs="华光书宋_CNKI"/>
                <w:w w:val="105"/>
                <w:kern w:val="0"/>
                <w:sz w:val="21"/>
                <w:szCs w:val="21"/>
                <w:lang w:bidi="mn-Mong-CN"/>
              </w:rPr>
              <w:t>分辨率：≤1</w:t>
            </w:r>
            <w:r>
              <w:rPr>
                <w:rFonts w:cs="华光书宋_CNKI"/>
                <w:w w:val="105"/>
                <w:kern w:val="0"/>
                <w:sz w:val="21"/>
                <w:szCs w:val="21"/>
                <w:lang w:eastAsia="en-US" w:bidi="mn-Mong-CN"/>
              </w:rPr>
              <w:t>με</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3）采样频率：1</w:t>
            </w:r>
            <w:r>
              <w:rPr>
                <w:rFonts w:cs="华光书宋_CNKI"/>
                <w:w w:val="105"/>
                <w:kern w:val="0"/>
                <w:sz w:val="21"/>
                <w:szCs w:val="21"/>
                <w:lang w:bidi="mn-Mong-CN"/>
              </w:rPr>
              <w:t>00</w:t>
            </w:r>
            <w:r>
              <w:rPr>
                <w:rFonts w:hint="eastAsia" w:cs="华光书宋_CNKI"/>
                <w:w w:val="105"/>
                <w:kern w:val="0"/>
                <w:sz w:val="21"/>
                <w:szCs w:val="21"/>
                <w:lang w:bidi="mn-Mong-CN"/>
              </w:rPr>
              <w:t>Hz</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4）精度：</w:t>
            </w:r>
            <w:r>
              <w:rPr>
                <w:rFonts w:cs="华光书宋_CNKI"/>
                <w:w w:val="105"/>
                <w:kern w:val="0"/>
                <w:sz w:val="21"/>
                <w:szCs w:val="21"/>
                <w:lang w:bidi="mn-Mong-CN"/>
              </w:rPr>
              <w:t>0.4%F.S</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5）</w:t>
            </w:r>
            <w:r>
              <w:rPr>
                <w:rFonts w:hint="eastAsia" w:cs="华光书宋_CNKI"/>
                <w:w w:val="105"/>
                <w:kern w:val="0"/>
                <w:sz w:val="21"/>
                <w:szCs w:val="21"/>
                <w:lang w:bidi="mn-Mong-CN"/>
              </w:rPr>
              <w:t>工作温度：（</w:t>
            </w:r>
            <w:r>
              <w:rPr>
                <w:rFonts w:cs="华光书宋_CNKI"/>
                <w:w w:val="105"/>
                <w:kern w:val="0"/>
                <w:sz w:val="21"/>
                <w:szCs w:val="21"/>
                <w:lang w:bidi="mn-Mong-CN"/>
              </w:rPr>
              <w:t>-30</w:t>
            </w:r>
            <w:r>
              <w:rPr>
                <w:rFonts w:hint="eastAsia" w:cs="华光书宋_CNKI"/>
                <w:w w:val="105"/>
                <w:kern w:val="0"/>
                <w:sz w:val="21"/>
                <w:szCs w:val="21"/>
                <w:lang w:bidi="mn-Mong-CN"/>
              </w:rPr>
              <w:t>～</w:t>
            </w:r>
            <w:r>
              <w:rPr>
                <w:rFonts w:cs="华光书宋_CNKI"/>
                <w:w w:val="105"/>
                <w:kern w:val="0"/>
                <w:sz w:val="21"/>
                <w:szCs w:val="21"/>
                <w:lang w:bidi="mn-Mong-CN"/>
              </w:rPr>
              <w:t>85）</w:t>
            </w:r>
            <w:r>
              <w:rPr>
                <w:rFonts w:hint="eastAsia" w:cs="华光书宋_CNKI"/>
                <w:w w:val="105"/>
                <w:kern w:val="0"/>
                <w:sz w:val="21"/>
                <w:szCs w:val="21"/>
                <w:lang w:bidi="mn-Mong-CN"/>
              </w:rPr>
              <w:t>℃</w:t>
            </w:r>
          </w:p>
        </w:tc>
        <w:tc>
          <w:tcPr>
            <w:tcW w:w="1738"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动态应变监测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GNSS</w:t>
            </w:r>
          </w:p>
        </w:tc>
        <w:tc>
          <w:tcPr>
            <w:tcW w:w="4243" w:type="dxa"/>
          </w:tcPr>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1</w:t>
            </w:r>
            <w:r>
              <w:rPr>
                <w:rFonts w:hint="eastAsia" w:cs="华光书宋_CNKI"/>
                <w:w w:val="105"/>
                <w:kern w:val="0"/>
                <w:sz w:val="21"/>
                <w:szCs w:val="21"/>
                <w:lang w:bidi="mn-Mong-CN"/>
              </w:rPr>
              <w:t xml:space="preserve">）静态基线精度： </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 xml:space="preserve">  </w:t>
            </w:r>
            <w:r>
              <w:rPr>
                <w:rFonts w:cs="华光书宋_CNKI"/>
                <w:w w:val="105"/>
                <w:kern w:val="0"/>
                <w:sz w:val="21"/>
                <w:szCs w:val="21"/>
                <w:lang w:bidi="mn-Mong-CN"/>
              </w:rPr>
              <w:t xml:space="preserve"> </w:t>
            </w:r>
            <w:r>
              <w:rPr>
                <w:rFonts w:hint="eastAsia" w:cs="华光书宋_CNKI"/>
                <w:w w:val="105"/>
                <w:kern w:val="0"/>
                <w:sz w:val="21"/>
                <w:szCs w:val="21"/>
                <w:lang w:bidi="mn-Mong-CN"/>
              </w:rPr>
              <w:t>水平：3mm ±0</w:t>
            </w:r>
            <w:r>
              <w:rPr>
                <w:rFonts w:cs="华光书宋_CNKI"/>
                <w:w w:val="105"/>
                <w:kern w:val="0"/>
                <w:sz w:val="21"/>
                <w:szCs w:val="21"/>
                <w:lang w:bidi="mn-Mong-CN"/>
              </w:rPr>
              <w:t>.</w:t>
            </w:r>
            <w:r>
              <w:rPr>
                <w:rFonts w:hint="eastAsia" w:cs="华光书宋_CNKI"/>
                <w:w w:val="105"/>
                <w:kern w:val="0"/>
                <w:sz w:val="21"/>
                <w:szCs w:val="21"/>
                <w:lang w:bidi="mn-Mong-CN"/>
              </w:rPr>
              <w:t>5ppm</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 xml:space="preserve">  </w:t>
            </w:r>
            <w:r>
              <w:rPr>
                <w:rFonts w:cs="华光书宋_CNKI"/>
                <w:w w:val="105"/>
                <w:kern w:val="0"/>
                <w:sz w:val="21"/>
                <w:szCs w:val="21"/>
                <w:lang w:bidi="mn-Mong-CN"/>
              </w:rPr>
              <w:t xml:space="preserve"> </w:t>
            </w:r>
            <w:r>
              <w:rPr>
                <w:rFonts w:hint="eastAsia" w:cs="华光书宋_CNKI"/>
                <w:w w:val="105"/>
                <w:kern w:val="0"/>
                <w:sz w:val="21"/>
                <w:szCs w:val="21"/>
                <w:lang w:bidi="mn-Mong-CN"/>
              </w:rPr>
              <w:t>竖向：5mm</w:t>
            </w:r>
            <w:r>
              <w:rPr>
                <w:rFonts w:cs="华光书宋_CNKI"/>
                <w:w w:val="105"/>
                <w:kern w:val="0"/>
                <w:sz w:val="21"/>
                <w:szCs w:val="21"/>
                <w:lang w:bidi="mn-Mong-CN"/>
              </w:rPr>
              <w:t xml:space="preserve"> </w:t>
            </w:r>
            <w:r>
              <w:rPr>
                <w:rFonts w:hint="eastAsia" w:cs="华光书宋_CNKI"/>
                <w:w w:val="105"/>
                <w:kern w:val="0"/>
                <w:sz w:val="21"/>
                <w:szCs w:val="21"/>
                <w:lang w:bidi="mn-Mong-CN"/>
              </w:rPr>
              <w:t>±1ppm</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2</w:t>
            </w:r>
            <w:r>
              <w:rPr>
                <w:rFonts w:hint="eastAsia" w:cs="华光书宋_CNKI"/>
                <w:w w:val="105"/>
                <w:kern w:val="0"/>
                <w:sz w:val="21"/>
                <w:szCs w:val="21"/>
                <w:lang w:bidi="mn-Mong-CN"/>
              </w:rPr>
              <w:t>）动态精度：</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 xml:space="preserve">  </w:t>
            </w:r>
            <w:r>
              <w:rPr>
                <w:rFonts w:cs="华光书宋_CNKI"/>
                <w:w w:val="105"/>
                <w:kern w:val="0"/>
                <w:sz w:val="21"/>
                <w:szCs w:val="21"/>
                <w:lang w:bidi="mn-Mong-CN"/>
              </w:rPr>
              <w:t xml:space="preserve"> </w:t>
            </w:r>
            <w:r>
              <w:rPr>
                <w:rFonts w:hint="eastAsia" w:cs="华光书宋_CNKI"/>
                <w:w w:val="105"/>
                <w:kern w:val="0"/>
                <w:sz w:val="21"/>
                <w:szCs w:val="21"/>
                <w:lang w:bidi="mn-Mong-CN"/>
              </w:rPr>
              <w:t>水平：10mm ±1.5ppm</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 xml:space="preserve">  </w:t>
            </w:r>
            <w:r>
              <w:rPr>
                <w:rFonts w:cs="华光书宋_CNKI"/>
                <w:w w:val="105"/>
                <w:kern w:val="0"/>
                <w:sz w:val="21"/>
                <w:szCs w:val="21"/>
                <w:lang w:bidi="mn-Mong-CN"/>
              </w:rPr>
              <w:t xml:space="preserve"> </w:t>
            </w:r>
            <w:r>
              <w:rPr>
                <w:rFonts w:hint="eastAsia" w:cs="华光书宋_CNKI"/>
                <w:w w:val="105"/>
                <w:kern w:val="0"/>
                <w:sz w:val="21"/>
                <w:szCs w:val="21"/>
                <w:lang w:bidi="mn-Mong-CN"/>
              </w:rPr>
              <w:t>高程：15mm ±1.5ppm（实时）</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3）采样频率：≥20Hz</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4）工作温度：（-30～60）℃</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5）使用寿命：符合现行国家/行业设备标准</w:t>
            </w:r>
          </w:p>
        </w:tc>
        <w:tc>
          <w:tcPr>
            <w:tcW w:w="1738" w:type="dxa"/>
            <w:vAlign w:val="center"/>
          </w:tcPr>
          <w:p>
            <w:pPr>
              <w:autoSpaceDE w:val="0"/>
              <w:autoSpaceDN w:val="0"/>
              <w:spacing w:before="37" w:line="240" w:lineRule="auto"/>
              <w:ind w:left="122" w:right="104" w:firstLine="0" w:firstLineChars="0"/>
              <w:jc w:val="center"/>
              <w:rPr>
                <w:rFonts w:cs="华光书宋_CNKI"/>
                <w:w w:val="105"/>
                <w:kern w:val="0"/>
                <w:sz w:val="21"/>
                <w:szCs w:val="21"/>
                <w:lang w:bidi="mn-Mong-CN"/>
              </w:rPr>
            </w:pPr>
            <w:r>
              <w:rPr>
                <w:rFonts w:hint="eastAsia" w:cs="华光书宋_CNKI"/>
                <w:w w:val="105"/>
                <w:kern w:val="0"/>
                <w:sz w:val="21"/>
                <w:szCs w:val="21"/>
                <w:lang w:bidi="mn-Mong-CN"/>
              </w:rPr>
              <w:t>大</w:t>
            </w:r>
            <w:r>
              <w:rPr>
                <w:rFonts w:cs="华光书宋_CNKI"/>
                <w:w w:val="105"/>
                <w:kern w:val="0"/>
                <w:sz w:val="21"/>
                <w:szCs w:val="21"/>
                <w:lang w:bidi="mn-Mong-CN"/>
              </w:rPr>
              <w:t>量</w:t>
            </w:r>
            <w:r>
              <w:rPr>
                <w:rFonts w:hint="eastAsia" w:cs="华光书宋_CNKI"/>
                <w:w w:val="105"/>
                <w:kern w:val="0"/>
                <w:sz w:val="21"/>
                <w:szCs w:val="21"/>
                <w:lang w:bidi="mn-Mong-CN"/>
              </w:rPr>
              <w:t>程位移监测：悬索桥主梁竖向位移和横向位移、斜拉桥主梁和拱桥主梁横向位移、塔顶偏位、主缆偏位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位移传感器</w:t>
            </w:r>
          </w:p>
        </w:tc>
        <w:tc>
          <w:tcPr>
            <w:tcW w:w="4243" w:type="dxa"/>
          </w:tcPr>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1）测量范围：（10～1000）mm</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2）精度：</w:t>
            </w:r>
            <w:r>
              <w:rPr>
                <w:rFonts w:cs="华光书宋_CNKI"/>
                <w:w w:val="105"/>
                <w:kern w:val="0"/>
                <w:sz w:val="21"/>
                <w:szCs w:val="21"/>
                <w:lang w:bidi="mn-Mong-CN"/>
              </w:rPr>
              <w:t>0.5</w:t>
            </w:r>
            <w:r>
              <w:rPr>
                <w:rFonts w:hint="eastAsia" w:cs="华光书宋_CNKI"/>
                <w:w w:val="105"/>
                <w:kern w:val="0"/>
                <w:sz w:val="21"/>
                <w:szCs w:val="21"/>
                <w:lang w:bidi="mn-Mong-CN"/>
              </w:rPr>
              <w:t>%F.S</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3）分拼率：0.0</w:t>
            </w:r>
            <w:r>
              <w:rPr>
                <w:rFonts w:cs="华光书宋_CNKI"/>
                <w:w w:val="105"/>
                <w:kern w:val="0"/>
                <w:sz w:val="21"/>
                <w:szCs w:val="21"/>
                <w:lang w:bidi="mn-Mong-CN"/>
              </w:rPr>
              <w:t>1</w:t>
            </w:r>
            <w:r>
              <w:rPr>
                <w:rFonts w:hint="eastAsia" w:cs="华光书宋_CNKI"/>
                <w:w w:val="105"/>
                <w:kern w:val="0"/>
                <w:sz w:val="21"/>
                <w:szCs w:val="21"/>
                <w:lang w:bidi="mn-Mong-CN"/>
              </w:rPr>
              <w:t>mm</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4）工作温度：（-30～65）℃</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5）使用寿命：符台现行国家/行业设备标准</w:t>
            </w:r>
          </w:p>
        </w:tc>
        <w:tc>
          <w:tcPr>
            <w:tcW w:w="1738"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支座或梁端位移监测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湿度传感器</w:t>
            </w:r>
          </w:p>
        </w:tc>
        <w:tc>
          <w:tcPr>
            <w:tcW w:w="4243" w:type="dxa"/>
          </w:tcPr>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1）测量范围：0～100%RH</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2）精度：</w:t>
            </w:r>
            <w:r>
              <w:rPr>
                <w:rFonts w:cs="华光书宋_CNKI"/>
                <w:w w:val="105"/>
                <w:kern w:val="0"/>
                <w:sz w:val="21"/>
                <w:szCs w:val="21"/>
                <w:lang w:bidi="mn-Mong-CN"/>
              </w:rPr>
              <w:t>2</w:t>
            </w:r>
            <w:r>
              <w:rPr>
                <w:rFonts w:hint="eastAsia" w:cs="华光书宋_CNKI"/>
                <w:w w:val="105"/>
                <w:kern w:val="0"/>
                <w:sz w:val="21"/>
                <w:szCs w:val="21"/>
                <w:lang w:bidi="mn-Mong-CN"/>
              </w:rPr>
              <w:t>%</w:t>
            </w:r>
            <w:r>
              <w:rPr>
                <w:rFonts w:cs="华光书宋_CNKI"/>
                <w:w w:val="105"/>
                <w:kern w:val="0"/>
                <w:sz w:val="21"/>
                <w:szCs w:val="21"/>
                <w:lang w:bidi="mn-Mong-CN"/>
              </w:rPr>
              <w:t>RH</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3）稳定性：&lt;1%RH/年</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4）工作温度：（-30～85）℃</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5</w:t>
            </w:r>
            <w:r>
              <w:rPr>
                <w:rFonts w:hint="eastAsia" w:cs="华光书宋_CNKI"/>
                <w:w w:val="105"/>
                <w:kern w:val="0"/>
                <w:sz w:val="21"/>
                <w:szCs w:val="21"/>
                <w:lang w:bidi="mn-Mong-CN"/>
              </w:rPr>
              <w:t>）使用寿命：符合现行国家/行业设备标准</w:t>
            </w:r>
          </w:p>
        </w:tc>
        <w:tc>
          <w:tcPr>
            <w:tcW w:w="1738"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环境湿度监测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温度传感器</w:t>
            </w:r>
          </w:p>
        </w:tc>
        <w:tc>
          <w:tcPr>
            <w:tcW w:w="4243" w:type="dxa"/>
          </w:tcPr>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1）测量范围：（-30～85）℃</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2）精度：±0.5℃</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3）分辨率：0</w:t>
            </w:r>
            <w:r>
              <w:rPr>
                <w:rFonts w:cs="华光书宋_CNKI"/>
                <w:w w:val="105"/>
                <w:kern w:val="0"/>
                <w:sz w:val="21"/>
                <w:szCs w:val="21"/>
                <w:lang w:bidi="mn-Mong-CN"/>
              </w:rPr>
              <w:t>.1</w:t>
            </w:r>
            <w:r>
              <w:rPr>
                <w:rFonts w:hint="eastAsia" w:cs="华光书宋_CNKI"/>
                <w:w w:val="105"/>
                <w:kern w:val="0"/>
                <w:sz w:val="21"/>
                <w:szCs w:val="21"/>
                <w:lang w:bidi="mn-Mong-CN"/>
              </w:rPr>
              <w:t>℃</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4）工作温度：（-30～85）℃</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5）使用寿命：符合现行国家/行业设备标准</w:t>
            </w:r>
          </w:p>
        </w:tc>
        <w:tc>
          <w:tcPr>
            <w:tcW w:w="1738"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环境温度监测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倾角传感器</w:t>
            </w:r>
          </w:p>
        </w:tc>
        <w:tc>
          <w:tcPr>
            <w:tcW w:w="4243" w:type="dxa"/>
          </w:tcPr>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1）量程：±5°</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2）灵敏轴非对称性：</w:t>
            </w:r>
            <w:r>
              <w:rPr>
                <w:rFonts w:cs="华光书宋_CNKI"/>
                <w:w w:val="105"/>
                <w:kern w:val="0"/>
                <w:sz w:val="21"/>
                <w:szCs w:val="21"/>
                <w:lang w:bidi="mn-Mong-CN"/>
              </w:rPr>
              <w:t>&lt;0.15</w:t>
            </w:r>
            <w:r>
              <w:rPr>
                <w:rFonts w:hint="eastAsia" w:cs="华光书宋_CNKI"/>
                <w:w w:val="105"/>
                <w:kern w:val="0"/>
                <w:sz w:val="21"/>
                <w:szCs w:val="21"/>
                <w:lang w:bidi="mn-Mong-CN"/>
              </w:rPr>
              <w:t>°</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3）零点漂移：&lt;0.</w:t>
            </w:r>
            <w:r>
              <w:rPr>
                <w:rFonts w:cs="华光书宋_CNKI"/>
                <w:w w:val="105"/>
                <w:kern w:val="0"/>
                <w:sz w:val="21"/>
                <w:szCs w:val="21"/>
                <w:lang w:bidi="mn-Mong-CN"/>
              </w:rPr>
              <w:t>01</w:t>
            </w:r>
            <w:r>
              <w:rPr>
                <w:rFonts w:hint="eastAsia" w:cs="华光书宋_CNKI"/>
                <w:w w:val="105"/>
                <w:kern w:val="0"/>
                <w:sz w:val="21"/>
                <w:szCs w:val="21"/>
                <w:lang w:bidi="mn-Mong-CN"/>
              </w:rPr>
              <w:t>°</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4）非线性：&lt;0.0</w:t>
            </w:r>
            <w:r>
              <w:rPr>
                <w:rFonts w:cs="华光书宋_CNKI"/>
                <w:w w:val="105"/>
                <w:kern w:val="0"/>
                <w:sz w:val="21"/>
                <w:szCs w:val="21"/>
                <w:lang w:bidi="mn-Mong-CN"/>
              </w:rPr>
              <w:t>05</w:t>
            </w:r>
            <w:r>
              <w:rPr>
                <w:rFonts w:hint="eastAsia" w:cs="华光书宋_CNKI"/>
                <w:w w:val="105"/>
                <w:kern w:val="0"/>
                <w:sz w:val="21"/>
                <w:szCs w:val="21"/>
                <w:lang w:bidi="mn-Mong-CN"/>
              </w:rPr>
              <w:t>°</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5）带宽-3dB，（典型值）：30Hz</w:t>
            </w:r>
          </w:p>
          <w:p>
            <w:pPr>
              <w:autoSpaceDE w:val="0"/>
              <w:autoSpaceDN w:val="0"/>
              <w:spacing w:before="37" w:line="240" w:lineRule="auto"/>
              <w:ind w:left="122" w:right="104" w:firstLine="0" w:firstLineChars="0"/>
              <w:jc w:val="left"/>
              <w:rPr>
                <w:rFonts w:cs="华光书宋_CNKI"/>
                <w:w w:val="105"/>
                <w:kern w:val="0"/>
                <w:sz w:val="21"/>
                <w:szCs w:val="21"/>
                <w:lang w:eastAsia="en-US" w:bidi="mn-Mong-CN"/>
              </w:rPr>
            </w:pPr>
            <w:r>
              <w:rPr>
                <w:rFonts w:hint="eastAsia" w:cs="华光书宋_CNKI"/>
                <w:w w:val="105"/>
                <w:kern w:val="0"/>
                <w:sz w:val="21"/>
                <w:szCs w:val="21"/>
                <w:lang w:eastAsia="en-US" w:bidi="mn-Mong-CN"/>
              </w:rPr>
              <w:t>6）分辨率：&lt;0.0005°</w:t>
            </w:r>
          </w:p>
          <w:p>
            <w:pPr>
              <w:autoSpaceDE w:val="0"/>
              <w:autoSpaceDN w:val="0"/>
              <w:spacing w:before="37" w:line="240" w:lineRule="auto"/>
              <w:ind w:left="122" w:right="104" w:firstLine="0" w:firstLineChars="0"/>
              <w:jc w:val="left"/>
              <w:rPr>
                <w:rFonts w:cs="华光书宋_CNKI"/>
                <w:w w:val="105"/>
                <w:kern w:val="0"/>
                <w:sz w:val="21"/>
                <w:szCs w:val="21"/>
                <w:lang w:eastAsia="en-US" w:bidi="mn-Mong-CN"/>
              </w:rPr>
            </w:pPr>
            <w:r>
              <w:rPr>
                <w:rFonts w:hint="eastAsia" w:cs="华光书宋_CNKI"/>
                <w:w w:val="105"/>
                <w:kern w:val="0"/>
                <w:sz w:val="21"/>
                <w:szCs w:val="21"/>
                <w:lang w:eastAsia="en-US" w:bidi="mn-Mong-CN"/>
              </w:rPr>
              <w:t>7）重复性：</w:t>
            </w:r>
            <w:r>
              <w:rPr>
                <w:rFonts w:cs="华光书宋_CNKI"/>
                <w:w w:val="105"/>
                <w:kern w:val="0"/>
                <w:sz w:val="21"/>
                <w:szCs w:val="21"/>
                <w:lang w:eastAsia="en-US" w:bidi="mn-Mong-CN"/>
              </w:rPr>
              <w:t>&lt;</w:t>
            </w:r>
            <w:r>
              <w:rPr>
                <w:rFonts w:hint="eastAsia" w:cs="华光书宋_CNKI"/>
                <w:w w:val="105"/>
                <w:kern w:val="0"/>
                <w:sz w:val="21"/>
                <w:szCs w:val="21"/>
                <w:lang w:eastAsia="en-US" w:bidi="mn-Mong-CN"/>
              </w:rPr>
              <w:t>0.003°</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8）精度：≤0</w:t>
            </w:r>
            <w:r>
              <w:rPr>
                <w:rFonts w:cs="华光书宋_CNKI"/>
                <w:w w:val="105"/>
                <w:kern w:val="0"/>
                <w:sz w:val="21"/>
                <w:szCs w:val="21"/>
                <w:lang w:bidi="mn-Mong-CN"/>
              </w:rPr>
              <w:t>.01</w:t>
            </w:r>
            <w:r>
              <w:rPr>
                <w:rFonts w:hint="eastAsia" w:cs="华光书宋_CNKI"/>
                <w:w w:val="105"/>
                <w:kern w:val="0"/>
                <w:sz w:val="21"/>
                <w:szCs w:val="21"/>
                <w:lang w:bidi="mn-Mong-CN"/>
              </w:rPr>
              <w:t>°</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8）噪声：&lt;0.0002°rms</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9）工作温度：（-30～65）℃</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1</w:t>
            </w:r>
            <w:r>
              <w:rPr>
                <w:rFonts w:cs="华光书宋_CNKI"/>
                <w:w w:val="105"/>
                <w:kern w:val="0"/>
                <w:sz w:val="21"/>
                <w:szCs w:val="21"/>
                <w:lang w:bidi="mn-Mong-CN"/>
              </w:rPr>
              <w:t>0</w:t>
            </w:r>
            <w:r>
              <w:rPr>
                <w:rFonts w:hint="eastAsia" w:cs="华光书宋_CNKI"/>
                <w:w w:val="105"/>
                <w:kern w:val="0"/>
                <w:sz w:val="21"/>
                <w:szCs w:val="21"/>
                <w:lang w:bidi="mn-Mong-CN"/>
              </w:rPr>
              <w:t>）使用寿命：符合现行国家/行业设备标准</w:t>
            </w:r>
          </w:p>
        </w:tc>
        <w:tc>
          <w:tcPr>
            <w:tcW w:w="1738"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梁端、塔顶转角监测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静力水准仪</w:t>
            </w:r>
          </w:p>
        </w:tc>
        <w:tc>
          <w:tcPr>
            <w:tcW w:w="4243" w:type="dxa"/>
          </w:tcPr>
          <w:p>
            <w:pPr>
              <w:autoSpaceDE w:val="0"/>
              <w:autoSpaceDN w:val="0"/>
              <w:spacing w:before="37" w:line="240" w:lineRule="auto"/>
              <w:ind w:left="122" w:right="104" w:firstLine="0" w:firstLineChars="0"/>
              <w:jc w:val="left"/>
              <w:rPr>
                <w:rFonts w:cs="华光书宋_CNKI"/>
                <w:w w:val="105"/>
                <w:kern w:val="0"/>
                <w:sz w:val="21"/>
                <w:szCs w:val="21"/>
                <w:lang w:eastAsia="en-US" w:bidi="mn-Mong-CN"/>
              </w:rPr>
            </w:pPr>
            <w:r>
              <w:rPr>
                <w:rFonts w:hint="eastAsia" w:cs="华光书宋_CNKI"/>
                <w:w w:val="105"/>
                <w:kern w:val="0"/>
                <w:sz w:val="21"/>
                <w:szCs w:val="21"/>
                <w:lang w:eastAsia="en-US" w:bidi="mn-Mong-CN"/>
              </w:rPr>
              <w:t>1）量程：≥10</w:t>
            </w:r>
            <w:r>
              <w:rPr>
                <w:rFonts w:cs="华光书宋_CNKI"/>
                <w:w w:val="105"/>
                <w:kern w:val="0"/>
                <w:sz w:val="21"/>
                <w:szCs w:val="21"/>
                <w:lang w:eastAsia="en-US" w:bidi="mn-Mong-CN"/>
              </w:rPr>
              <w:t>00</w:t>
            </w:r>
            <w:r>
              <w:rPr>
                <w:rFonts w:hint="eastAsia" w:cs="华光书宋_CNKI"/>
                <w:w w:val="105"/>
                <w:kern w:val="0"/>
                <w:sz w:val="21"/>
                <w:szCs w:val="21"/>
                <w:lang w:eastAsia="en-US" w:bidi="mn-Mong-CN"/>
              </w:rPr>
              <w:t>mm</w:t>
            </w:r>
          </w:p>
          <w:p>
            <w:pPr>
              <w:autoSpaceDE w:val="0"/>
              <w:autoSpaceDN w:val="0"/>
              <w:spacing w:before="37" w:line="240" w:lineRule="auto"/>
              <w:ind w:left="122" w:right="104" w:firstLine="0" w:firstLineChars="0"/>
              <w:jc w:val="left"/>
              <w:rPr>
                <w:rFonts w:cs="华光书宋_CNKI"/>
                <w:w w:val="105"/>
                <w:kern w:val="0"/>
                <w:sz w:val="21"/>
                <w:szCs w:val="21"/>
                <w:lang w:eastAsia="en-US" w:bidi="mn-Mong-CN"/>
              </w:rPr>
            </w:pPr>
            <w:r>
              <w:rPr>
                <w:rFonts w:hint="eastAsia" w:cs="华光书宋_CNKI"/>
                <w:w w:val="105"/>
                <w:kern w:val="0"/>
                <w:sz w:val="21"/>
                <w:szCs w:val="21"/>
                <w:lang w:eastAsia="en-US" w:bidi="mn-Mong-CN"/>
              </w:rPr>
              <w:t>2）精度：≤±1mm</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3）工作温度：（-30～65）℃</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4）使用寿命：符合现行国家/行业设备标准</w:t>
            </w:r>
          </w:p>
        </w:tc>
        <w:tc>
          <w:tcPr>
            <w:tcW w:w="1738"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bidi="mn-Mong-CN"/>
              </w:rPr>
              <w:t>挠</w:t>
            </w:r>
            <w:r>
              <w:rPr>
                <w:rFonts w:hint="eastAsia" w:cs="华光书宋_CNKI"/>
                <w:w w:val="105"/>
                <w:kern w:val="0"/>
                <w:sz w:val="21"/>
                <w:szCs w:val="21"/>
                <w:lang w:eastAsia="en-US" w:bidi="mn-Mong-CN"/>
              </w:rPr>
              <w:t>度监测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支座反力计</w:t>
            </w:r>
          </w:p>
        </w:tc>
        <w:tc>
          <w:tcPr>
            <w:tcW w:w="4243" w:type="dxa"/>
          </w:tcPr>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1</w:t>
            </w:r>
            <w:r>
              <w:rPr>
                <w:rFonts w:hint="eastAsia" w:cs="华光书宋_CNKI"/>
                <w:w w:val="105"/>
                <w:kern w:val="0"/>
                <w:sz w:val="21"/>
                <w:szCs w:val="21"/>
                <w:lang w:bidi="mn-Mong-CN"/>
              </w:rPr>
              <w:t>）测量范围：（500～6400）kN</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2）分辨率：≤0.1%F</w:t>
            </w:r>
            <w:r>
              <w:rPr>
                <w:rFonts w:cs="华光书宋_CNKI"/>
                <w:w w:val="105"/>
                <w:kern w:val="0"/>
                <w:sz w:val="21"/>
                <w:szCs w:val="21"/>
                <w:lang w:bidi="mn-Mong-CN"/>
              </w:rPr>
              <w:t>.</w:t>
            </w:r>
            <w:r>
              <w:rPr>
                <w:rFonts w:hint="eastAsia" w:cs="华光书宋_CNKI"/>
                <w:w w:val="105"/>
                <w:kern w:val="0"/>
                <w:sz w:val="21"/>
                <w:szCs w:val="21"/>
                <w:lang w:bidi="mn-Mong-CN"/>
              </w:rPr>
              <w:t>S</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cs="华光书宋_CNKI"/>
                <w:w w:val="105"/>
                <w:kern w:val="0"/>
                <w:sz w:val="21"/>
                <w:szCs w:val="21"/>
                <w:lang w:bidi="mn-Mong-CN"/>
              </w:rPr>
              <w:t>3</w:t>
            </w:r>
            <w:r>
              <w:rPr>
                <w:rFonts w:hint="eastAsia" w:cs="华光书宋_CNKI"/>
                <w:w w:val="105"/>
                <w:kern w:val="0"/>
                <w:sz w:val="21"/>
                <w:szCs w:val="21"/>
                <w:lang w:bidi="mn-Mong-CN"/>
              </w:rPr>
              <w:t>）非直线度：≤1.5%F</w:t>
            </w:r>
            <w:r>
              <w:rPr>
                <w:rFonts w:cs="华光书宋_CNKI"/>
                <w:w w:val="105"/>
                <w:kern w:val="0"/>
                <w:sz w:val="21"/>
                <w:szCs w:val="21"/>
                <w:lang w:bidi="mn-Mong-CN"/>
              </w:rPr>
              <w:t>.</w:t>
            </w:r>
            <w:r>
              <w:rPr>
                <w:rFonts w:hint="eastAsia" w:cs="华光书宋_CNKI"/>
                <w:w w:val="105"/>
                <w:kern w:val="0"/>
                <w:sz w:val="21"/>
                <w:szCs w:val="21"/>
                <w:lang w:bidi="mn-Mong-CN"/>
              </w:rPr>
              <w:t>S</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4）综合误差：≤2.0%F</w:t>
            </w:r>
            <w:r>
              <w:rPr>
                <w:rFonts w:cs="华光书宋_CNKI"/>
                <w:w w:val="105"/>
                <w:kern w:val="0"/>
                <w:sz w:val="21"/>
                <w:szCs w:val="21"/>
                <w:lang w:bidi="mn-Mong-CN"/>
              </w:rPr>
              <w:t>.</w:t>
            </w:r>
            <w:r>
              <w:rPr>
                <w:rFonts w:hint="eastAsia" w:cs="华光书宋_CNKI"/>
                <w:w w:val="105"/>
                <w:kern w:val="0"/>
                <w:sz w:val="21"/>
                <w:szCs w:val="21"/>
                <w:lang w:bidi="mn-Mong-CN"/>
              </w:rPr>
              <w:t>S</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5）工作温度：（-20～65）℃</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6）使用寿命：符合现行国家/行业设备标准</w:t>
            </w:r>
          </w:p>
        </w:tc>
        <w:tc>
          <w:tcPr>
            <w:tcW w:w="1738"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支座反力监测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声发射传感器</w:t>
            </w:r>
          </w:p>
        </w:tc>
        <w:tc>
          <w:tcPr>
            <w:tcW w:w="4243" w:type="dxa"/>
          </w:tcPr>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1）工作温度：（-</w:t>
            </w:r>
            <w:r>
              <w:rPr>
                <w:rFonts w:cs="华光书宋_CNKI"/>
                <w:w w:val="105"/>
                <w:kern w:val="0"/>
                <w:sz w:val="21"/>
                <w:szCs w:val="21"/>
                <w:lang w:bidi="mn-Mong-CN"/>
              </w:rPr>
              <w:t>30</w:t>
            </w:r>
            <w:r>
              <w:rPr>
                <w:rFonts w:hint="eastAsia" w:cs="华光书宋_CNKI"/>
                <w:w w:val="105"/>
                <w:kern w:val="0"/>
                <w:sz w:val="21"/>
                <w:szCs w:val="21"/>
                <w:lang w:bidi="mn-Mong-CN"/>
              </w:rPr>
              <w:t>～</w:t>
            </w:r>
            <w:r>
              <w:rPr>
                <w:rFonts w:cs="华光书宋_CNKI"/>
                <w:w w:val="105"/>
                <w:kern w:val="0"/>
                <w:sz w:val="21"/>
                <w:szCs w:val="21"/>
                <w:lang w:bidi="mn-Mong-CN"/>
              </w:rPr>
              <w:t>70</w:t>
            </w:r>
            <w:r>
              <w:rPr>
                <w:rFonts w:hint="eastAsia" w:cs="华光书宋_CNKI"/>
                <w:w w:val="105"/>
                <w:kern w:val="0"/>
                <w:sz w:val="21"/>
                <w:szCs w:val="21"/>
                <w:lang w:bidi="mn-Mong-CN"/>
              </w:rPr>
              <w:t>）℃</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2）谐振频率：</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 xml:space="preserve">   裸露钢索（4</w:t>
            </w:r>
            <w:r>
              <w:rPr>
                <w:rFonts w:cs="华光书宋_CNKI"/>
                <w:w w:val="105"/>
                <w:kern w:val="0"/>
                <w:sz w:val="21"/>
                <w:szCs w:val="21"/>
                <w:lang w:bidi="mn-Mong-CN"/>
              </w:rPr>
              <w:t>0</w:t>
            </w:r>
            <w:r>
              <w:rPr>
                <w:rFonts w:hint="eastAsia" w:cs="华光书宋_CNKI"/>
                <w:w w:val="105"/>
                <w:kern w:val="0"/>
                <w:sz w:val="21"/>
                <w:szCs w:val="21"/>
                <w:lang w:bidi="mn-Mong-CN"/>
              </w:rPr>
              <w:t>～</w:t>
            </w:r>
            <w:r>
              <w:rPr>
                <w:rFonts w:cs="华光书宋_CNKI"/>
                <w:w w:val="105"/>
                <w:kern w:val="0"/>
                <w:sz w:val="21"/>
                <w:szCs w:val="21"/>
                <w:lang w:bidi="mn-Mong-CN"/>
              </w:rPr>
              <w:t>100</w:t>
            </w:r>
            <w:r>
              <w:rPr>
                <w:rFonts w:hint="eastAsia" w:cs="华光书宋_CNKI"/>
                <w:w w:val="105"/>
                <w:kern w:val="0"/>
                <w:sz w:val="21"/>
                <w:szCs w:val="21"/>
                <w:lang w:bidi="mn-Mong-CN"/>
              </w:rPr>
              <w:t>）</w:t>
            </w:r>
            <w:r>
              <w:rPr>
                <w:rFonts w:cs="华光书宋_CNKI"/>
                <w:w w:val="105"/>
                <w:kern w:val="0"/>
                <w:sz w:val="21"/>
                <w:szCs w:val="21"/>
                <w:lang w:bidi="mn-Mong-CN"/>
              </w:rPr>
              <w:t>kHz</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 xml:space="preserve">   预埋钢索（1</w:t>
            </w:r>
            <w:r>
              <w:rPr>
                <w:rFonts w:cs="华光书宋_CNKI"/>
                <w:w w:val="105"/>
                <w:kern w:val="0"/>
                <w:sz w:val="21"/>
                <w:szCs w:val="21"/>
                <w:lang w:bidi="mn-Mong-CN"/>
              </w:rPr>
              <w:t>0</w:t>
            </w:r>
            <w:r>
              <w:rPr>
                <w:rFonts w:hint="eastAsia" w:cs="华光书宋_CNKI"/>
                <w:w w:val="105"/>
                <w:kern w:val="0"/>
                <w:sz w:val="21"/>
                <w:szCs w:val="21"/>
                <w:lang w:bidi="mn-Mong-CN"/>
              </w:rPr>
              <w:t>～</w:t>
            </w:r>
            <w:r>
              <w:rPr>
                <w:rFonts w:cs="华光书宋_CNKI"/>
                <w:w w:val="105"/>
                <w:kern w:val="0"/>
                <w:sz w:val="21"/>
                <w:szCs w:val="21"/>
                <w:lang w:bidi="mn-Mong-CN"/>
              </w:rPr>
              <w:t>40</w:t>
            </w:r>
            <w:r>
              <w:rPr>
                <w:rFonts w:hint="eastAsia" w:cs="华光书宋_CNKI"/>
                <w:w w:val="105"/>
                <w:kern w:val="0"/>
                <w:sz w:val="21"/>
                <w:szCs w:val="21"/>
                <w:lang w:bidi="mn-Mong-CN"/>
              </w:rPr>
              <w:t>）</w:t>
            </w:r>
            <w:r>
              <w:rPr>
                <w:rFonts w:cs="华光书宋_CNKI"/>
                <w:w w:val="105"/>
                <w:kern w:val="0"/>
                <w:sz w:val="21"/>
                <w:szCs w:val="21"/>
                <w:lang w:bidi="mn-Mong-CN"/>
              </w:rPr>
              <w:t>kH</w:t>
            </w:r>
            <w:r>
              <w:rPr>
                <w:rFonts w:hint="eastAsia" w:cs="华光书宋_CNKI"/>
                <w:w w:val="105"/>
                <w:kern w:val="0"/>
                <w:sz w:val="21"/>
                <w:szCs w:val="21"/>
                <w:lang w:bidi="mn-Mong-CN"/>
              </w:rPr>
              <w:t>z</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3）防护等级：IP</w:t>
            </w:r>
            <w:r>
              <w:rPr>
                <w:rFonts w:cs="华光书宋_CNKI"/>
                <w:w w:val="105"/>
                <w:kern w:val="0"/>
                <w:sz w:val="21"/>
                <w:szCs w:val="21"/>
                <w:lang w:bidi="mn-Mong-CN"/>
              </w:rPr>
              <w:t>65</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6）使用寿命：符合现行国家/行业设备标准</w:t>
            </w:r>
          </w:p>
        </w:tc>
        <w:tc>
          <w:tcPr>
            <w:tcW w:w="1738"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断丝监测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基础冲刷传感器</w:t>
            </w:r>
          </w:p>
        </w:tc>
        <w:tc>
          <w:tcPr>
            <w:tcW w:w="4243" w:type="dxa"/>
          </w:tcPr>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1）冲刷深度分辨率：≤5mm</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2）量程：≥1</w:t>
            </w:r>
            <w:r>
              <w:rPr>
                <w:rFonts w:cs="华光书宋_CNKI"/>
                <w:w w:val="105"/>
                <w:kern w:val="0"/>
                <w:sz w:val="21"/>
                <w:szCs w:val="21"/>
                <w:lang w:bidi="mn-Mong-CN"/>
              </w:rPr>
              <w:t>0</w:t>
            </w:r>
            <w:r>
              <w:rPr>
                <w:rFonts w:hint="eastAsia" w:cs="华光书宋_CNKI"/>
                <w:w w:val="105"/>
                <w:kern w:val="0"/>
                <w:sz w:val="21"/>
                <w:szCs w:val="21"/>
                <w:lang w:bidi="mn-Mong-CN"/>
              </w:rPr>
              <w:t>m</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3）供电：（9～</w:t>
            </w:r>
            <w:r>
              <w:rPr>
                <w:rFonts w:cs="华光书宋_CNKI"/>
                <w:w w:val="105"/>
                <w:kern w:val="0"/>
                <w:sz w:val="21"/>
                <w:szCs w:val="21"/>
                <w:lang w:bidi="mn-Mong-CN"/>
              </w:rPr>
              <w:t>36</w:t>
            </w:r>
            <w:r>
              <w:rPr>
                <w:rFonts w:hint="eastAsia" w:cs="华光书宋_CNKI"/>
                <w:w w:val="105"/>
                <w:kern w:val="0"/>
                <w:sz w:val="21"/>
                <w:szCs w:val="21"/>
                <w:lang w:bidi="mn-Mong-CN"/>
              </w:rPr>
              <w:t>）V</w:t>
            </w:r>
            <w:r>
              <w:rPr>
                <w:rFonts w:cs="华光书宋_CNKI"/>
                <w:w w:val="105"/>
                <w:kern w:val="0"/>
                <w:sz w:val="21"/>
                <w:szCs w:val="21"/>
                <w:lang w:bidi="mn-Mong-CN"/>
              </w:rPr>
              <w:t xml:space="preserve"> </w:t>
            </w:r>
            <w:r>
              <w:rPr>
                <w:rFonts w:hint="eastAsia" w:cs="华光书宋_CNKI"/>
                <w:w w:val="105"/>
                <w:kern w:val="0"/>
                <w:sz w:val="21"/>
                <w:szCs w:val="21"/>
                <w:lang w:bidi="mn-Mong-CN"/>
              </w:rPr>
              <w:t>DC</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4）防护等级：IP</w:t>
            </w:r>
            <w:r>
              <w:rPr>
                <w:rFonts w:cs="华光书宋_CNKI"/>
                <w:w w:val="105"/>
                <w:kern w:val="0"/>
                <w:sz w:val="21"/>
                <w:szCs w:val="21"/>
                <w:lang w:bidi="mn-Mong-CN"/>
              </w:rPr>
              <w:t>68</w:t>
            </w:r>
          </w:p>
        </w:tc>
        <w:tc>
          <w:tcPr>
            <w:tcW w:w="1738"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冲刷深度监测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流速监测仪</w:t>
            </w:r>
          </w:p>
        </w:tc>
        <w:tc>
          <w:tcPr>
            <w:tcW w:w="4243" w:type="dxa"/>
          </w:tcPr>
          <w:p>
            <w:pPr>
              <w:autoSpaceDE w:val="0"/>
              <w:autoSpaceDN w:val="0"/>
              <w:spacing w:before="37" w:line="240" w:lineRule="auto"/>
              <w:ind w:left="122" w:right="104" w:firstLine="0" w:firstLineChars="0"/>
              <w:jc w:val="left"/>
              <w:rPr>
                <w:rFonts w:cs="华光书宋_CNKI"/>
                <w:w w:val="105"/>
                <w:kern w:val="0"/>
                <w:sz w:val="21"/>
                <w:szCs w:val="21"/>
                <w:lang w:eastAsia="en-US" w:bidi="mn-Mong-CN"/>
              </w:rPr>
            </w:pPr>
            <w:r>
              <w:rPr>
                <w:rFonts w:hint="eastAsia" w:cs="华光书宋_CNKI"/>
                <w:w w:val="105"/>
                <w:kern w:val="0"/>
                <w:sz w:val="21"/>
                <w:szCs w:val="21"/>
                <w:lang w:bidi="mn-Mong-CN"/>
              </w:rPr>
              <w:t>1）</w:t>
            </w:r>
            <w:r>
              <w:rPr>
                <w:rFonts w:hint="eastAsia" w:cs="华光书宋_CNKI"/>
                <w:w w:val="105"/>
                <w:kern w:val="0"/>
                <w:sz w:val="21"/>
                <w:szCs w:val="21"/>
                <w:lang w:eastAsia="en-US" w:bidi="mn-Mong-CN"/>
              </w:rPr>
              <w:t>量程：≥±</w:t>
            </w:r>
            <w:r>
              <w:rPr>
                <w:rFonts w:cs="华光书宋_CNKI"/>
                <w:w w:val="105"/>
                <w:kern w:val="0"/>
                <w:sz w:val="21"/>
                <w:szCs w:val="21"/>
                <w:lang w:eastAsia="en-US" w:bidi="mn-Mong-CN"/>
              </w:rPr>
              <w:t>5</w:t>
            </w:r>
            <w:r>
              <w:rPr>
                <w:rFonts w:hint="eastAsia" w:cs="华光书宋_CNKI"/>
                <w:w w:val="105"/>
                <w:kern w:val="0"/>
                <w:sz w:val="21"/>
                <w:szCs w:val="21"/>
                <w:lang w:eastAsia="en-US" w:bidi="mn-Mong-CN"/>
              </w:rPr>
              <w:t>m/</w:t>
            </w:r>
            <w:r>
              <w:rPr>
                <w:rFonts w:cs="华光书宋_CNKI"/>
                <w:w w:val="105"/>
                <w:kern w:val="0"/>
                <w:sz w:val="21"/>
                <w:szCs w:val="21"/>
                <w:lang w:eastAsia="en-US" w:bidi="mn-Mong-CN"/>
              </w:rPr>
              <w:t>s</w:t>
            </w:r>
          </w:p>
          <w:p>
            <w:pPr>
              <w:autoSpaceDE w:val="0"/>
              <w:autoSpaceDN w:val="0"/>
              <w:spacing w:before="37" w:line="240" w:lineRule="auto"/>
              <w:ind w:left="122" w:right="104" w:firstLine="0" w:firstLineChars="0"/>
              <w:jc w:val="left"/>
              <w:rPr>
                <w:rFonts w:cs="华光书宋_CNKI"/>
                <w:w w:val="105"/>
                <w:kern w:val="0"/>
                <w:sz w:val="21"/>
                <w:szCs w:val="21"/>
                <w:lang w:eastAsia="en-US" w:bidi="mn-Mong-CN"/>
              </w:rPr>
            </w:pPr>
            <w:r>
              <w:rPr>
                <w:rFonts w:hint="eastAsia" w:cs="华光书宋_CNKI"/>
                <w:w w:val="105"/>
                <w:kern w:val="0"/>
                <w:sz w:val="21"/>
                <w:szCs w:val="21"/>
                <w:lang w:bidi="mn-Mong-CN"/>
              </w:rPr>
              <w:t>2）</w:t>
            </w:r>
            <w:r>
              <w:rPr>
                <w:rFonts w:hint="eastAsia" w:cs="华光书宋_CNKI"/>
                <w:w w:val="105"/>
                <w:kern w:val="0"/>
                <w:sz w:val="21"/>
                <w:szCs w:val="21"/>
                <w:lang w:eastAsia="en-US" w:bidi="mn-Mong-CN"/>
              </w:rPr>
              <w:t>精度：≤±1%F.S</w:t>
            </w:r>
          </w:p>
          <w:p>
            <w:pPr>
              <w:autoSpaceDE w:val="0"/>
              <w:autoSpaceDN w:val="0"/>
              <w:spacing w:before="37" w:line="240" w:lineRule="auto"/>
              <w:ind w:left="122" w:right="104" w:firstLine="0" w:firstLineChars="0"/>
              <w:jc w:val="left"/>
              <w:rPr>
                <w:rFonts w:cs="华光书宋_CNKI"/>
                <w:w w:val="105"/>
                <w:kern w:val="0"/>
                <w:sz w:val="21"/>
                <w:szCs w:val="21"/>
                <w:lang w:eastAsia="en-US" w:bidi="mn-Mong-CN"/>
              </w:rPr>
            </w:pPr>
            <w:r>
              <w:rPr>
                <w:rFonts w:hint="eastAsia" w:cs="华光书宋_CNKI"/>
                <w:w w:val="105"/>
                <w:kern w:val="0"/>
                <w:sz w:val="21"/>
                <w:szCs w:val="21"/>
                <w:lang w:bidi="mn-Mong-CN"/>
              </w:rPr>
              <w:t>3）</w:t>
            </w:r>
            <w:r>
              <w:rPr>
                <w:rFonts w:hint="eastAsia" w:cs="华光书宋_CNKI"/>
                <w:w w:val="105"/>
                <w:kern w:val="0"/>
                <w:sz w:val="21"/>
                <w:szCs w:val="21"/>
                <w:lang w:eastAsia="en-US" w:bidi="mn-Mong-CN"/>
              </w:rPr>
              <w:t>分辨率：≤0</w:t>
            </w:r>
            <w:r>
              <w:rPr>
                <w:rFonts w:cs="华光书宋_CNKI"/>
                <w:w w:val="105"/>
                <w:kern w:val="0"/>
                <w:sz w:val="21"/>
                <w:szCs w:val="21"/>
                <w:lang w:eastAsia="en-US" w:bidi="mn-Mong-CN"/>
              </w:rPr>
              <w:t>.1</w:t>
            </w:r>
            <w:r>
              <w:rPr>
                <w:rFonts w:hint="eastAsia" w:cs="华光书宋_CNKI"/>
                <w:w w:val="105"/>
                <w:kern w:val="0"/>
                <w:sz w:val="21"/>
                <w:szCs w:val="21"/>
                <w:lang w:eastAsia="en-US" w:bidi="mn-Mong-CN"/>
              </w:rPr>
              <w:t>cm/s</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4）供电：（9～</w:t>
            </w:r>
            <w:r>
              <w:rPr>
                <w:rFonts w:cs="华光书宋_CNKI"/>
                <w:w w:val="105"/>
                <w:kern w:val="0"/>
                <w:sz w:val="21"/>
                <w:szCs w:val="21"/>
                <w:lang w:bidi="mn-Mong-CN"/>
              </w:rPr>
              <w:t>36</w:t>
            </w:r>
            <w:r>
              <w:rPr>
                <w:rFonts w:hint="eastAsia" w:cs="华光书宋_CNKI"/>
                <w:w w:val="105"/>
                <w:kern w:val="0"/>
                <w:sz w:val="21"/>
                <w:szCs w:val="21"/>
                <w:lang w:bidi="mn-Mong-CN"/>
              </w:rPr>
              <w:t>）V</w:t>
            </w:r>
            <w:r>
              <w:rPr>
                <w:rFonts w:cs="华光书宋_CNKI"/>
                <w:w w:val="105"/>
                <w:kern w:val="0"/>
                <w:sz w:val="21"/>
                <w:szCs w:val="21"/>
                <w:lang w:bidi="mn-Mong-CN"/>
              </w:rPr>
              <w:t xml:space="preserve"> </w:t>
            </w:r>
            <w:r>
              <w:rPr>
                <w:rFonts w:hint="eastAsia" w:cs="华光书宋_CNKI"/>
                <w:w w:val="105"/>
                <w:kern w:val="0"/>
                <w:sz w:val="21"/>
                <w:szCs w:val="21"/>
                <w:lang w:bidi="mn-Mong-CN"/>
              </w:rPr>
              <w:t>DC</w:t>
            </w:r>
          </w:p>
        </w:tc>
        <w:tc>
          <w:tcPr>
            <w:tcW w:w="1738"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流速监测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裂缝计</w:t>
            </w:r>
          </w:p>
        </w:tc>
        <w:tc>
          <w:tcPr>
            <w:tcW w:w="4243" w:type="dxa"/>
          </w:tcPr>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1）量程：≥1</w:t>
            </w:r>
            <w:r>
              <w:rPr>
                <w:rFonts w:cs="华光书宋_CNKI"/>
                <w:w w:val="105"/>
                <w:kern w:val="0"/>
                <w:sz w:val="21"/>
                <w:szCs w:val="21"/>
                <w:lang w:bidi="mn-Mong-CN"/>
              </w:rPr>
              <w:t>0</w:t>
            </w:r>
            <w:r>
              <w:rPr>
                <w:rFonts w:hint="eastAsia" w:cs="华光书宋_CNKI"/>
                <w:w w:val="105"/>
                <w:kern w:val="0"/>
                <w:sz w:val="21"/>
                <w:szCs w:val="21"/>
                <w:lang w:bidi="mn-Mong-CN"/>
              </w:rPr>
              <w:t>mm或大于裂缝宽度的5倍</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2）精度：≤0</w:t>
            </w:r>
            <w:r>
              <w:rPr>
                <w:rFonts w:cs="华光书宋_CNKI"/>
                <w:w w:val="105"/>
                <w:kern w:val="0"/>
                <w:sz w:val="21"/>
                <w:szCs w:val="21"/>
                <w:lang w:bidi="mn-Mong-CN"/>
              </w:rPr>
              <w:t>.02</w:t>
            </w:r>
            <w:r>
              <w:rPr>
                <w:rFonts w:hint="eastAsia" w:cs="华光书宋_CNKI"/>
                <w:w w:val="105"/>
                <w:kern w:val="0"/>
                <w:sz w:val="21"/>
                <w:szCs w:val="21"/>
                <w:lang w:bidi="mn-Mong-CN"/>
              </w:rPr>
              <w:t>mm</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3）分辨率：0</w:t>
            </w:r>
            <w:r>
              <w:rPr>
                <w:rFonts w:cs="华光书宋_CNKI"/>
                <w:w w:val="105"/>
                <w:kern w:val="0"/>
                <w:sz w:val="21"/>
                <w:szCs w:val="21"/>
                <w:lang w:bidi="mn-Mong-CN"/>
              </w:rPr>
              <w:t>.01</w:t>
            </w:r>
            <w:r>
              <w:rPr>
                <w:rFonts w:hint="eastAsia" w:cs="华光书宋_CNKI"/>
                <w:w w:val="105"/>
                <w:kern w:val="0"/>
                <w:sz w:val="21"/>
                <w:szCs w:val="21"/>
                <w:lang w:bidi="mn-Mong-CN"/>
              </w:rPr>
              <w:t>mm</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4）防护等级：IP</w:t>
            </w:r>
            <w:r>
              <w:rPr>
                <w:rFonts w:cs="华光书宋_CNKI"/>
                <w:w w:val="105"/>
                <w:kern w:val="0"/>
                <w:sz w:val="21"/>
                <w:szCs w:val="21"/>
                <w:lang w:bidi="mn-Mong-CN"/>
              </w:rPr>
              <w:t>68</w:t>
            </w:r>
          </w:p>
        </w:tc>
        <w:tc>
          <w:tcPr>
            <w:tcW w:w="1738"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裂缝监测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翻斗式雨量传感器</w:t>
            </w:r>
          </w:p>
        </w:tc>
        <w:tc>
          <w:tcPr>
            <w:tcW w:w="4243" w:type="dxa"/>
          </w:tcPr>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1）分辨力：0.1mm</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2）雨强范围：0.01mm～4mm/min</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3）允许通过最大雨强：8mm/min</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4）测量准确度：≤±4%</w:t>
            </w:r>
            <w:r>
              <w:rPr>
                <w:rFonts w:cs="华光书宋_CNKI"/>
                <w:w w:val="105"/>
                <w:kern w:val="0"/>
                <w:sz w:val="21"/>
                <w:szCs w:val="21"/>
                <w:lang w:bidi="mn-Mong-CN"/>
              </w:rPr>
              <w:t>F.S</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5）供电电压：（9～</w:t>
            </w:r>
            <w:r>
              <w:rPr>
                <w:rFonts w:cs="华光书宋_CNKI"/>
                <w:w w:val="105"/>
                <w:kern w:val="0"/>
                <w:sz w:val="21"/>
                <w:szCs w:val="21"/>
                <w:lang w:bidi="mn-Mong-CN"/>
              </w:rPr>
              <w:t>36</w:t>
            </w:r>
            <w:r>
              <w:rPr>
                <w:rFonts w:hint="eastAsia" w:cs="华光书宋_CNKI"/>
                <w:w w:val="105"/>
                <w:kern w:val="0"/>
                <w:sz w:val="21"/>
                <w:szCs w:val="21"/>
                <w:lang w:bidi="mn-Mong-CN"/>
              </w:rPr>
              <w:t xml:space="preserve">）V DC </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6）工作环境：温度：－10℃～50℃；湿度：&lt;95%RH（40℃）</w:t>
            </w:r>
          </w:p>
        </w:tc>
        <w:tc>
          <w:tcPr>
            <w:tcW w:w="1738"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雨量监测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5"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能见度监测仪</w:t>
            </w:r>
          </w:p>
        </w:tc>
        <w:tc>
          <w:tcPr>
            <w:tcW w:w="4243" w:type="dxa"/>
          </w:tcPr>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1）测量范围：≥2</w:t>
            </w:r>
            <w:r>
              <w:rPr>
                <w:rFonts w:cs="华光书宋_CNKI"/>
                <w:w w:val="105"/>
                <w:kern w:val="0"/>
                <w:sz w:val="21"/>
                <w:szCs w:val="21"/>
                <w:lang w:bidi="mn-Mong-CN"/>
              </w:rPr>
              <w:t>k</w:t>
            </w:r>
            <w:r>
              <w:rPr>
                <w:rFonts w:hint="eastAsia" w:cs="华光书宋_CNKI"/>
                <w:w w:val="105"/>
                <w:kern w:val="0"/>
                <w:sz w:val="21"/>
                <w:szCs w:val="21"/>
                <w:lang w:bidi="mn-Mong-CN"/>
              </w:rPr>
              <w:t>m</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2）精度：≤</w:t>
            </w:r>
            <w:r>
              <w:rPr>
                <w:rFonts w:cs="华光书宋_CNKI"/>
                <w:w w:val="105"/>
                <w:kern w:val="0"/>
                <w:sz w:val="21"/>
                <w:szCs w:val="21"/>
                <w:lang w:bidi="mn-Mong-CN"/>
              </w:rPr>
              <w:t>1</w:t>
            </w:r>
            <w:r>
              <w:rPr>
                <w:rFonts w:hint="eastAsia" w:cs="华光书宋_CNKI"/>
                <w:w w:val="105"/>
                <w:kern w:val="0"/>
                <w:sz w:val="21"/>
                <w:szCs w:val="21"/>
                <w:lang w:bidi="mn-Mong-CN"/>
              </w:rPr>
              <w:t>m</w:t>
            </w:r>
          </w:p>
          <w:p>
            <w:pPr>
              <w:autoSpaceDE w:val="0"/>
              <w:autoSpaceDN w:val="0"/>
              <w:spacing w:before="37" w:line="240" w:lineRule="auto"/>
              <w:ind w:left="122" w:right="104" w:firstLine="0" w:firstLineChars="0"/>
              <w:jc w:val="left"/>
              <w:rPr>
                <w:rFonts w:cs="华光书宋_CNKI"/>
                <w:w w:val="105"/>
                <w:kern w:val="0"/>
                <w:sz w:val="21"/>
                <w:szCs w:val="21"/>
                <w:lang w:eastAsia="en-US" w:bidi="mn-Mong-CN"/>
              </w:rPr>
            </w:pPr>
            <w:r>
              <w:rPr>
                <w:rFonts w:hint="eastAsia" w:cs="华光书宋_CNKI"/>
                <w:w w:val="105"/>
                <w:kern w:val="0"/>
                <w:sz w:val="21"/>
                <w:szCs w:val="21"/>
                <w:lang w:bidi="mn-Mong-CN"/>
              </w:rPr>
              <w:t>3）</w:t>
            </w:r>
            <w:r>
              <w:rPr>
                <w:rFonts w:hint="eastAsia" w:cs="华光书宋_CNKI"/>
                <w:w w:val="105"/>
                <w:kern w:val="0"/>
                <w:sz w:val="21"/>
                <w:szCs w:val="21"/>
                <w:lang w:eastAsia="en-US" w:bidi="mn-Mong-CN"/>
              </w:rPr>
              <w:t>典型精度：±10% （@25℃，50%RH）</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4）平均无故障时间（MTBF）：大于18000h</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5）工作环境：-40℃～60℃</w:t>
            </w:r>
          </w:p>
          <w:p>
            <w:pPr>
              <w:autoSpaceDE w:val="0"/>
              <w:autoSpaceDN w:val="0"/>
              <w:spacing w:before="37" w:line="240" w:lineRule="auto"/>
              <w:ind w:left="122" w:right="104" w:firstLine="0" w:firstLineChars="0"/>
              <w:jc w:val="left"/>
              <w:rPr>
                <w:rFonts w:cs="华光书宋_CNKI"/>
                <w:w w:val="105"/>
                <w:kern w:val="0"/>
                <w:sz w:val="21"/>
                <w:szCs w:val="21"/>
                <w:lang w:bidi="mn-Mong-CN"/>
              </w:rPr>
            </w:pPr>
            <w:r>
              <w:rPr>
                <w:rFonts w:hint="eastAsia" w:cs="华光书宋_CNKI"/>
                <w:w w:val="105"/>
                <w:kern w:val="0"/>
                <w:sz w:val="21"/>
                <w:szCs w:val="21"/>
                <w:lang w:bidi="mn-Mong-CN"/>
              </w:rPr>
              <w:t>6）供电：（9～</w:t>
            </w:r>
            <w:r>
              <w:rPr>
                <w:rFonts w:cs="华光书宋_CNKI"/>
                <w:w w:val="105"/>
                <w:kern w:val="0"/>
                <w:sz w:val="21"/>
                <w:szCs w:val="21"/>
                <w:lang w:bidi="mn-Mong-CN"/>
              </w:rPr>
              <w:t>36</w:t>
            </w:r>
            <w:r>
              <w:rPr>
                <w:rFonts w:hint="eastAsia" w:cs="华光书宋_CNKI"/>
                <w:w w:val="105"/>
                <w:kern w:val="0"/>
                <w:sz w:val="21"/>
                <w:szCs w:val="21"/>
                <w:lang w:bidi="mn-Mong-CN"/>
              </w:rPr>
              <w:t>）</w:t>
            </w:r>
            <w:r>
              <w:rPr>
                <w:rFonts w:cs="华光书宋_CNKI"/>
                <w:w w:val="105"/>
                <w:kern w:val="0"/>
                <w:sz w:val="21"/>
                <w:szCs w:val="21"/>
                <w:lang w:bidi="mn-Mong-CN"/>
              </w:rPr>
              <w:t>V</w:t>
            </w:r>
          </w:p>
        </w:tc>
        <w:tc>
          <w:tcPr>
            <w:tcW w:w="1738" w:type="dxa"/>
            <w:vAlign w:val="center"/>
          </w:tcPr>
          <w:p>
            <w:pPr>
              <w:autoSpaceDE w:val="0"/>
              <w:autoSpaceDN w:val="0"/>
              <w:spacing w:before="37" w:line="240" w:lineRule="auto"/>
              <w:ind w:left="122" w:right="104" w:firstLine="0" w:firstLineChars="0"/>
              <w:jc w:val="center"/>
              <w:rPr>
                <w:rFonts w:cs="华光书宋_CNKI"/>
                <w:w w:val="105"/>
                <w:kern w:val="0"/>
                <w:sz w:val="21"/>
                <w:szCs w:val="21"/>
                <w:lang w:eastAsia="en-US" w:bidi="mn-Mong-CN"/>
              </w:rPr>
            </w:pPr>
            <w:r>
              <w:rPr>
                <w:rFonts w:hint="eastAsia" w:cs="华光书宋_CNKI"/>
                <w:w w:val="105"/>
                <w:kern w:val="0"/>
                <w:sz w:val="21"/>
                <w:szCs w:val="21"/>
                <w:lang w:eastAsia="en-US" w:bidi="mn-Mong-CN"/>
              </w:rPr>
              <w:t>能见度监测</w:t>
            </w:r>
          </w:p>
        </w:tc>
      </w:tr>
    </w:tbl>
    <w:p>
      <w:pPr>
        <w:ind w:firstLine="480"/>
      </w:pPr>
    </w:p>
    <w:p>
      <w:pPr>
        <w:pStyle w:val="4"/>
      </w:pPr>
      <w:r>
        <w:rPr>
          <w:rFonts w:hint="eastAsia"/>
        </w:rPr>
        <w:t>数据采集硬件应</w:t>
      </w:r>
      <w:r>
        <w:t>符合下列规定</w:t>
      </w:r>
      <w:r>
        <w:rPr>
          <w:rFonts w:hint="eastAsia"/>
        </w:rPr>
        <w:t>：</w:t>
      </w:r>
    </w:p>
    <w:p>
      <w:pPr>
        <w:ind w:firstLine="480"/>
      </w:pPr>
      <w:r>
        <w:rPr>
          <w:rFonts w:hint="eastAsia"/>
        </w:rPr>
        <w:t>1 应根据传感器种类、数量、信号特征、信号采样频率、I</w:t>
      </w:r>
      <w:r>
        <w:t>O</w:t>
      </w:r>
      <w:r>
        <w:rPr>
          <w:rFonts w:hint="eastAsia"/>
        </w:rPr>
        <w:t>数，据吞吐量及对信号的预处理等要求，确定数据采集硬件系统的基本方式和具体硬件设备的选择。</w:t>
      </w:r>
    </w:p>
    <w:p>
      <w:pPr>
        <w:ind w:firstLine="480"/>
      </w:pPr>
      <w:r>
        <w:rPr>
          <w:rFonts w:hint="eastAsia"/>
        </w:rPr>
        <w:t>2 应遵循标准协议和标准接口。</w:t>
      </w:r>
    </w:p>
    <w:p>
      <w:pPr>
        <w:ind w:firstLine="480"/>
      </w:pPr>
      <w:r>
        <w:rPr>
          <w:rFonts w:hint="eastAsia"/>
        </w:rPr>
        <w:t>3 应具有较高的精度，宜配置信号增益、滤波等硬件设备。</w:t>
      </w:r>
    </w:p>
    <w:p>
      <w:pPr>
        <w:ind w:firstLine="480"/>
      </w:pPr>
      <w:r>
        <w:rPr>
          <w:rFonts w:hint="eastAsia"/>
        </w:rPr>
        <w:t>4 应具备实时采集、自动存储、即时显示、即时反馈、自动处理、自动传输功能，应保证现场数据的真实性、有效性、实时性、可用性。</w:t>
      </w:r>
    </w:p>
    <w:p>
      <w:pPr>
        <w:ind w:firstLine="480"/>
      </w:pPr>
      <w:r>
        <w:rPr>
          <w:rFonts w:hint="eastAsia"/>
        </w:rPr>
        <w:t>5 应满足室外工作需求，具有便携、防雨、防雷和防尘等功能。</w:t>
      </w:r>
    </w:p>
    <w:p>
      <w:pPr>
        <w:ind w:firstLine="480"/>
      </w:pPr>
      <w:r>
        <w:rPr>
          <w:rFonts w:hint="eastAsia"/>
        </w:rPr>
        <w:t>6 应易于更换，且更换不影响采集软件的使用，应增大所有功耗器件的冗余量，延长其使用寿命。</w:t>
      </w:r>
    </w:p>
    <w:p>
      <w:pPr>
        <w:ind w:firstLine="480"/>
      </w:pPr>
      <w:r>
        <w:rPr>
          <w:rFonts w:hint="eastAsia"/>
        </w:rPr>
        <w:t>7 数据采集硬件应采取抗干扰措施：串模干扰抑制、共模干扰抑制以及防雷接地技术和屏蔽技术等。</w:t>
      </w:r>
    </w:p>
    <w:p>
      <w:pPr>
        <w:ind w:firstLine="480"/>
      </w:pPr>
      <w:r>
        <w:rPr>
          <w:rFonts w:hint="eastAsia"/>
        </w:rPr>
        <w:t>8</w:t>
      </w:r>
      <w:r>
        <w:t xml:space="preserve"> </w:t>
      </w:r>
      <w:r>
        <w:rPr>
          <w:rFonts w:hint="eastAsia"/>
        </w:rPr>
        <w:t>数据采集硬件应根据传感器输出信号类型、范围、兼容性、精度和分辨力等要求进行设备选型，并符合下列规定：</w:t>
      </w:r>
    </w:p>
    <w:p>
      <w:pPr>
        <w:ind w:firstLine="720" w:firstLineChars="300"/>
      </w:pPr>
      <w:r>
        <w:t>1</w:t>
      </w:r>
      <w:r>
        <w:rPr>
          <w:rFonts w:hint="eastAsia"/>
        </w:rPr>
        <w:t>）数字信号可选用基于RS485、CAN、Modbus、TCP或UDP等分布式数据采集设备，并兼顾传输距离、传输带宽和速率；</w:t>
      </w:r>
    </w:p>
    <w:p>
      <w:pPr>
        <w:ind w:firstLine="720" w:firstLineChars="300"/>
      </w:pPr>
      <w:r>
        <w:t>2</w:t>
      </w:r>
      <w:r>
        <w:rPr>
          <w:rFonts w:hint="eastAsia"/>
        </w:rPr>
        <w:t>）电荷信号应选用电荷放大器进行信号调理后采集；</w:t>
      </w:r>
    </w:p>
    <w:p>
      <w:pPr>
        <w:ind w:firstLine="720" w:firstLineChars="300"/>
      </w:pPr>
      <w:r>
        <w:t>3</w:t>
      </w:r>
      <w:r>
        <w:rPr>
          <w:rFonts w:hint="eastAsia"/>
        </w:rPr>
        <w:t>）模拟电信号宜选用4mA～20mA和-5V～5V等标准工业信号，可选用基于PCI、PXI等技术的集中式数据采集设备，并应进行光电隔离；</w:t>
      </w:r>
    </w:p>
    <w:p>
      <w:pPr>
        <w:ind w:firstLine="720" w:firstLineChars="300"/>
      </w:pPr>
      <w:r>
        <w:t>4</w:t>
      </w:r>
      <w:r>
        <w:rPr>
          <w:rFonts w:hint="eastAsia"/>
        </w:rPr>
        <w:t>）光信号数据采集应采用专用的光纤解调设备，应根据波长范围、采样通道与采样频率进行选型，光纤光栅波长分辨力应小于等于1pm，扫描频率应大于等于50Hz；应注意温度对光信号调制解调的影响，若光纤光栅解调仪所在环境温度超出其工作温度范围，宜配置温控机柜。</w:t>
      </w:r>
    </w:p>
    <w:p>
      <w:pPr>
        <w:ind w:firstLine="720" w:firstLineChars="300"/>
      </w:pPr>
      <w:r>
        <w:t>5</w:t>
      </w:r>
      <w:r>
        <w:rPr>
          <w:rFonts w:hint="eastAsia"/>
        </w:rPr>
        <w:t>）振弦式传感器信号应选用专用振弦式采集仪采集，频率信号误差应不大于0.1Hz；</w:t>
      </w:r>
    </w:p>
    <w:p>
      <w:pPr>
        <w:ind w:firstLine="720" w:firstLineChars="300"/>
      </w:pPr>
      <w:r>
        <w:t>6</w:t>
      </w:r>
      <w:r>
        <w:rPr>
          <w:rFonts w:hint="eastAsia"/>
        </w:rPr>
        <w:t>）电阻式应变传感器信号应选用惠斯登电桥调理信号放大；</w:t>
      </w:r>
    </w:p>
    <w:p>
      <w:pPr>
        <w:ind w:firstLine="720" w:firstLineChars="300"/>
      </w:pPr>
      <w:r>
        <w:t>7</w:t>
      </w:r>
      <w:r>
        <w:rPr>
          <w:rFonts w:hint="eastAsia"/>
        </w:rPr>
        <w:t>）电磁弹式索力传感器信号应选用磁弹采集仪采集，误差应不大于0.5%F.S；</w:t>
      </w:r>
    </w:p>
    <w:p>
      <w:pPr>
        <w:ind w:firstLine="720" w:firstLineChars="300"/>
      </w:pPr>
      <w:r>
        <w:t>8</w:t>
      </w:r>
      <w:r>
        <w:rPr>
          <w:rFonts w:hint="eastAsia"/>
        </w:rPr>
        <w:t>）数据采集模数转换（A/D转换）应满足传感器分辨力、精度和数据分析要求，静态信号分辨力应大于等于16位，动态信号分辨力应大于等于24位；</w:t>
      </w:r>
    </w:p>
    <w:p>
      <w:pPr>
        <w:ind w:firstLine="720" w:firstLineChars="300"/>
      </w:pPr>
      <w:r>
        <w:t>9</w:t>
      </w:r>
      <w:r>
        <w:rPr>
          <w:rFonts w:hint="eastAsia"/>
        </w:rPr>
        <w:t>）静态模拟信号宜选用多路模拟开关、采样保持器进行多路信号采集；</w:t>
      </w:r>
    </w:p>
    <w:p>
      <w:pPr>
        <w:ind w:firstLine="720" w:firstLineChars="300"/>
      </w:pPr>
      <w:r>
        <w:t>10</w:t>
      </w:r>
      <w:r>
        <w:rPr>
          <w:rFonts w:hint="eastAsia"/>
        </w:rPr>
        <w:t>）动态信号应选用抗混滤波器进行滤波、降噪。</w:t>
      </w:r>
    </w:p>
    <w:p>
      <w:pPr>
        <w:pStyle w:val="4"/>
      </w:pPr>
      <w:r>
        <w:rPr>
          <w:rFonts w:hint="eastAsia"/>
        </w:rPr>
        <w:t>组网方式应</w:t>
      </w:r>
      <w:r>
        <w:t>符合下列规定</w:t>
      </w:r>
      <w:r>
        <w:rPr>
          <w:rFonts w:hint="eastAsia"/>
        </w:rPr>
        <w:t>：</w:t>
      </w:r>
    </w:p>
    <w:p>
      <w:pPr>
        <w:ind w:firstLine="480"/>
      </w:pPr>
      <w:r>
        <w:rPr>
          <w:rFonts w:hint="eastAsia"/>
        </w:rPr>
        <w:t>1 监测系统组网应综合考虑系统整体上下行流量水平、突发流量、数据延迟要求等综合考虑，根据桥梁所在位置的设施设备状况，宜采用有线或无线网络，优先选用有线网络。</w:t>
      </w:r>
    </w:p>
    <w:p>
      <w:pPr>
        <w:ind w:firstLine="480"/>
      </w:pPr>
      <w:r>
        <w:t>2</w:t>
      </w:r>
      <w:r>
        <w:rPr>
          <w:rFonts w:hint="eastAsia"/>
        </w:rPr>
        <w:t xml:space="preserve"> 对于常规跨径桥梁，监测系统数据采集方式均为静态采样的监测系统，同时上行突发流量所需带宽不大于无线传输带宽上行速率的8</w:t>
      </w:r>
      <w:r>
        <w:t>0</w:t>
      </w:r>
      <w:r>
        <w:rPr>
          <w:rFonts w:hint="eastAsia"/>
        </w:rPr>
        <w:t>%，并对数据传输延迟要求不高的情况，宜采用无线传输方式。</w:t>
      </w:r>
    </w:p>
    <w:p>
      <w:pPr>
        <w:ind w:firstLine="480"/>
      </w:pPr>
      <w:r>
        <w:t>3</w:t>
      </w:r>
      <w:r>
        <w:rPr>
          <w:rFonts w:hint="eastAsia"/>
        </w:rPr>
        <w:t xml:space="preserve"> 对于特大跨径、测点多、监测系统中有视频监控或部分监测点采样方式为实时采集的桥梁宜采用节点汇聚，有线环网连接的方式。有线传输应符合下列规定：</w:t>
      </w:r>
    </w:p>
    <w:p>
      <w:pPr>
        <w:ind w:firstLine="720" w:firstLineChars="300"/>
      </w:pPr>
      <w:r>
        <w:rPr>
          <w:rFonts w:hint="eastAsia"/>
        </w:rPr>
        <w:t>1）桥梁环网交换机带宽选取应根据监测系统各传输链路节点数据所需总带宽选取环网交换机接口带宽等级，环网交换机带宽宜为1</w:t>
      </w:r>
      <w:r>
        <w:t>00</w:t>
      </w:r>
      <w:r>
        <w:rPr>
          <w:rFonts w:hint="eastAsia"/>
        </w:rPr>
        <w:t>Mbps/</w:t>
      </w:r>
      <w:r>
        <w:t>1000</w:t>
      </w:r>
      <w:r>
        <w:rPr>
          <w:rFonts w:hint="eastAsia"/>
        </w:rPr>
        <w:t>Mbps。</w:t>
      </w:r>
    </w:p>
    <w:p>
      <w:pPr>
        <w:ind w:firstLine="720" w:firstLineChars="300"/>
      </w:pPr>
      <w:r>
        <w:rPr>
          <w:rFonts w:hint="eastAsia"/>
        </w:rPr>
        <w:t>2）有线宽带或专线等数据远程传输应根据监测系统总数据传输带宽设计需求，选取合适的网络上行带宽。</w:t>
      </w:r>
    </w:p>
    <w:p>
      <w:pPr>
        <w:pStyle w:val="4"/>
      </w:pPr>
      <w:r>
        <w:rPr>
          <w:rFonts w:hint="eastAsia"/>
        </w:rPr>
        <w:t>系统供电应</w:t>
      </w:r>
      <w:r>
        <w:t>符合下列规定</w:t>
      </w:r>
      <w:r>
        <w:rPr>
          <w:rFonts w:hint="eastAsia"/>
        </w:rPr>
        <w:t>：</w:t>
      </w:r>
    </w:p>
    <w:p>
      <w:pPr>
        <w:ind w:firstLine="480"/>
      </w:pPr>
      <w:r>
        <w:rPr>
          <w:rFonts w:hint="eastAsia"/>
        </w:rPr>
        <w:t>1 桥梁健康监测系统供电可依据监测现场设施设备情况选用合适的系统供电方式，宜</w:t>
      </w:r>
      <w:r>
        <w:t>采取</w:t>
      </w:r>
      <w:r>
        <w:rPr>
          <w:rFonts w:hint="eastAsia"/>
        </w:rPr>
        <w:t>市电供电方式，条件受限</w:t>
      </w:r>
      <w:r>
        <w:t>时</w:t>
      </w:r>
      <w:r>
        <w:rPr>
          <w:rFonts w:hint="eastAsia"/>
        </w:rPr>
        <w:t>可采取太阳能供电。系统供配电设计应符合《供配电系统设计规范》GB 50052和《低压配电设计规范》GB 50054的相关规定，同时兼顾后期维护便利。</w:t>
      </w:r>
    </w:p>
    <w:p>
      <w:pPr>
        <w:ind w:firstLine="480"/>
      </w:pPr>
      <w:r>
        <w:rPr>
          <w:rFonts w:hint="eastAsia"/>
        </w:rPr>
        <w:t>2 市电供电方式应依据监测系统整体功耗及取电点距离综合确定，市电供电应</w:t>
      </w:r>
      <w:r>
        <w:t>符合下列规定</w:t>
      </w:r>
      <w:r>
        <w:rPr>
          <w:rFonts w:hint="eastAsia"/>
        </w:rPr>
        <w:t>：</w:t>
      </w:r>
    </w:p>
    <w:p>
      <w:pPr>
        <w:ind w:firstLine="720" w:firstLineChars="300"/>
      </w:pPr>
      <w:r>
        <w:rPr>
          <w:rFonts w:hint="eastAsia"/>
        </w:rPr>
        <w:t>1）当供电电压波动范围大于±1</w:t>
      </w:r>
      <w:r>
        <w:t>0</w:t>
      </w:r>
      <w:r>
        <w:rPr>
          <w:rFonts w:hint="eastAsia"/>
        </w:rPr>
        <w:t>%时应考虑增设稳压系统；</w:t>
      </w:r>
    </w:p>
    <w:p>
      <w:pPr>
        <w:ind w:firstLine="720" w:firstLineChars="300"/>
      </w:pPr>
      <w:r>
        <w:rPr>
          <w:rFonts w:hint="eastAsia"/>
        </w:rPr>
        <w:t>2）当取电点与监测系统间隔距离大于</w:t>
      </w:r>
      <w:r>
        <w:t>4000</w:t>
      </w:r>
      <w:r>
        <w:rPr>
          <w:rFonts w:hint="eastAsia"/>
        </w:rPr>
        <w:t>m时，功率大于</w:t>
      </w:r>
      <w:r>
        <w:t>2000</w:t>
      </w:r>
      <w:r>
        <w:rPr>
          <w:rFonts w:hint="eastAsia"/>
        </w:rPr>
        <w:t>W，供电干线可考虑增设升压变压器，升降变压器间传输线缆应选取铠装绝缘线；</w:t>
      </w:r>
    </w:p>
    <w:p>
      <w:pPr>
        <w:ind w:firstLine="720" w:firstLineChars="300"/>
      </w:pPr>
      <w:r>
        <w:rPr>
          <w:rFonts w:hint="eastAsia"/>
        </w:rPr>
        <w:t>3）应配备UPS等不间断电源，UPS选取功率应不低于监测系统额定功率的1</w:t>
      </w:r>
      <w:r>
        <w:t>.5</w:t>
      </w:r>
      <w:r>
        <w:rPr>
          <w:rFonts w:hint="eastAsia"/>
        </w:rPr>
        <w:t>倍。</w:t>
      </w:r>
    </w:p>
    <w:p>
      <w:pPr>
        <w:ind w:firstLine="480"/>
      </w:pPr>
      <w:r>
        <w:rPr>
          <w:rFonts w:hint="eastAsia"/>
        </w:rPr>
        <w:t>3 太阳能供电选取应对当地日照环境及监测设备功耗综合评估，太阳能供电方式应</w:t>
      </w:r>
      <w:r>
        <w:t>符合下列规定</w:t>
      </w:r>
      <w:r>
        <w:rPr>
          <w:rFonts w:hint="eastAsia"/>
        </w:rPr>
        <w:t>：</w:t>
      </w:r>
    </w:p>
    <w:p>
      <w:pPr>
        <w:ind w:firstLine="720" w:firstLineChars="300"/>
      </w:pPr>
      <w:r>
        <w:rPr>
          <w:rFonts w:hint="eastAsia"/>
        </w:rPr>
        <w:t>1）系统采集设备及传感器应为微功耗设备，且选取的太阳能供电系统年平均发电量应不小于监测系统整体耗电量的</w:t>
      </w:r>
      <w:r>
        <w:t>2</w:t>
      </w:r>
      <w:r>
        <w:rPr>
          <w:rFonts w:hint="eastAsia"/>
        </w:rPr>
        <w:t>倍；</w:t>
      </w:r>
    </w:p>
    <w:p>
      <w:pPr>
        <w:ind w:firstLine="720" w:firstLineChars="300"/>
      </w:pPr>
      <w:r>
        <w:t>2</w:t>
      </w:r>
      <w:r>
        <w:rPr>
          <w:rFonts w:hint="eastAsia"/>
        </w:rPr>
        <w:t>）太阳能供电系统储能电池的选取，应满足无日照情况下储能电池应能维持监测系统连续工作时长大于</w:t>
      </w:r>
      <w:r>
        <w:t>30</w:t>
      </w:r>
      <w:r>
        <w:rPr>
          <w:rFonts w:hint="eastAsia"/>
        </w:rPr>
        <w:t>d。</w:t>
      </w:r>
    </w:p>
    <w:p>
      <w:pPr>
        <w:pStyle w:val="4"/>
      </w:pPr>
      <w:r>
        <w:rPr>
          <w:rFonts w:hint="eastAsia"/>
        </w:rPr>
        <w:t>防雷接地应</w:t>
      </w:r>
      <w:r>
        <w:t>符合下列规定</w:t>
      </w:r>
      <w:r>
        <w:rPr>
          <w:rFonts w:hint="eastAsia"/>
        </w:rPr>
        <w:t>：</w:t>
      </w:r>
    </w:p>
    <w:p>
      <w:pPr>
        <w:ind w:firstLine="480"/>
      </w:pPr>
      <w:r>
        <w:rPr>
          <w:rFonts w:hint="eastAsia"/>
        </w:rPr>
        <w:t>1 桥梁监测系统应安装防雷设备及良好的接地，基于桥梁现有主体结构防雷体系设计系统防雷，明确区域强电防雷、弱电防雷、等电位连接及接地技术要求，并应符合《高速公路机电系统防雷技术规范》GB/T 37048、《建筑物电子信息系统防雷技术规范》GB 50343的相关规定。</w:t>
      </w:r>
    </w:p>
    <w:p>
      <w:pPr>
        <w:ind w:firstLine="480"/>
      </w:pPr>
      <w:r>
        <w:rPr>
          <w:rFonts w:hint="eastAsia"/>
        </w:rPr>
        <w:t xml:space="preserve">2 </w:t>
      </w:r>
      <w:r>
        <w:t>防雷接地与交流工作接地、直流工作接地、安全保护接地共用一组接地装置时，接地装置的接地电阻值必须按接入设备中要求的最小值确定。</w:t>
      </w:r>
    </w:p>
    <w:p>
      <w:pPr>
        <w:ind w:firstLine="480"/>
      </w:pPr>
      <w:r>
        <w:rPr>
          <w:rFonts w:hint="eastAsia"/>
        </w:rPr>
        <w:t xml:space="preserve">3 </w:t>
      </w:r>
      <w:r>
        <w:t>接地装置应优先利用建筑物的自然接地体，当自然接地体的接地电阻</w:t>
      </w:r>
      <w:r>
        <w:rPr>
          <w:rFonts w:hint="eastAsia"/>
        </w:rPr>
        <w:t>不小于1</w:t>
      </w:r>
      <w:r>
        <w:t>0</w:t>
      </w:r>
      <w:r>
        <w:rPr>
          <w:rFonts w:hint="eastAsia"/>
        </w:rPr>
        <w:t>Ω</w:t>
      </w:r>
      <w:r>
        <w:t>时应增加人工接地体</w:t>
      </w:r>
      <w:r>
        <w:rPr>
          <w:rFonts w:hint="eastAsia"/>
        </w:rPr>
        <w:t>。</w:t>
      </w:r>
    </w:p>
    <w:p>
      <w:pPr>
        <w:ind w:firstLine="480"/>
      </w:pPr>
      <w:r>
        <w:t>4</w:t>
      </w:r>
      <w:r>
        <w:rPr>
          <w:rFonts w:hint="eastAsia"/>
        </w:rPr>
        <w:t xml:space="preserve"> 接地系统</w:t>
      </w:r>
      <w:r>
        <w:t>的等电位接地端子板应设置在便于安装和检查的位置，不得设置在潮湿或有腐蚀性气体及易受机械损伤的地方，等电位接地端子板的连接点应满足机械强度和电气连续性的要求。</w:t>
      </w:r>
    </w:p>
    <w:p>
      <w:pPr>
        <w:ind w:firstLine="480"/>
      </w:pPr>
      <w:r>
        <w:t>5</w:t>
      </w:r>
      <w:r>
        <w:rPr>
          <w:rFonts w:hint="eastAsia"/>
        </w:rPr>
        <w:t xml:space="preserve"> </w:t>
      </w:r>
      <w:r>
        <w:t>当相邻</w:t>
      </w:r>
      <w:r>
        <w:rPr>
          <w:rFonts w:hint="eastAsia"/>
        </w:rPr>
        <w:t>设备</w:t>
      </w:r>
      <w:r>
        <w:t>的电子信息系统之间采用电缆互联时，宜采用屏蔽电缆，非屏蔽电缆应敷设在金属电缆管道内</w:t>
      </w:r>
      <w:r>
        <w:rPr>
          <w:rFonts w:hint="eastAsia"/>
        </w:rPr>
        <w:t>，</w:t>
      </w:r>
      <w:r>
        <w:t>屏蔽电缆屏蔽层两端或金属管道两端应分别连接到独立建筑物各自的等电位连接带上。采用屏蔽电缆互联时，电缆屏蔽层应能承载可预见的</w:t>
      </w:r>
      <w:r>
        <w:rPr>
          <w:rFonts w:hint="eastAsia"/>
        </w:rPr>
        <w:t>浪涌</w:t>
      </w:r>
      <w:r>
        <w:t>电流；</w:t>
      </w:r>
    </w:p>
    <w:p>
      <w:pPr>
        <w:ind w:firstLine="480"/>
      </w:pPr>
      <w:r>
        <w:t>6</w:t>
      </w:r>
      <w:r>
        <w:rPr>
          <w:rFonts w:hint="eastAsia"/>
        </w:rPr>
        <w:t xml:space="preserve"> </w:t>
      </w:r>
      <w:r>
        <w:t>光缆的所有金属接头、金属护层、金属挡潮层、金属加强芯等应在进入</w:t>
      </w:r>
      <w:r>
        <w:rPr>
          <w:rFonts w:hint="eastAsia"/>
        </w:rPr>
        <w:t>机柜</w:t>
      </w:r>
      <w:r>
        <w:t>处直接接地。</w:t>
      </w:r>
    </w:p>
    <w:p>
      <w:pPr>
        <w:ind w:firstLine="480"/>
      </w:pPr>
      <w:r>
        <w:t>7</w:t>
      </w:r>
      <w:r>
        <w:rPr>
          <w:rFonts w:hint="eastAsia"/>
        </w:rPr>
        <w:t xml:space="preserve"> </w:t>
      </w:r>
      <w:r>
        <w:t>电子信息系统线缆宜敷设在金属线槽或金属管道内。电子信息系统线路宜靠近等电位连接网络的金属部件敷设，不宜贴近雷电防护区的屏蔽层；</w:t>
      </w:r>
    </w:p>
    <w:p>
      <w:pPr>
        <w:ind w:firstLine="480"/>
      </w:pPr>
      <w:r>
        <w:t>8</w:t>
      </w:r>
      <w:r>
        <w:rPr>
          <w:rFonts w:hint="eastAsia"/>
        </w:rPr>
        <w:t xml:space="preserve"> </w:t>
      </w:r>
      <w:r>
        <w:t>布置电子信息系统线缆路由走向应减小由线缆自身形成的电磁感应环路面积</w:t>
      </w:r>
      <w:r>
        <w:rPr>
          <w:rFonts w:hint="eastAsia"/>
        </w:rPr>
        <w:t>，布线不应形成环路。</w:t>
      </w:r>
    </w:p>
    <w:p>
      <w:pPr>
        <w:ind w:firstLine="480"/>
      </w:pPr>
      <w:r>
        <w:t>9</w:t>
      </w:r>
      <w:r>
        <w:rPr>
          <w:rFonts w:hint="eastAsia"/>
        </w:rPr>
        <w:t xml:space="preserve"> </w:t>
      </w:r>
      <w:r>
        <w:t>电缆保护钢管</w:t>
      </w:r>
      <w:r>
        <w:rPr>
          <w:rFonts w:hint="eastAsia"/>
        </w:rPr>
        <w:t>、</w:t>
      </w:r>
      <w:r>
        <w:t>电缆保护屏蔽层等金属导体应在</w:t>
      </w:r>
      <w:r>
        <w:rPr>
          <w:rFonts w:hint="eastAsia"/>
        </w:rPr>
        <w:t>机柜</w:t>
      </w:r>
      <w:r>
        <w:t>处做等电位连接，并接至总接地端子板。</w:t>
      </w:r>
    </w:p>
    <w:p>
      <w:pPr>
        <w:ind w:firstLine="480"/>
      </w:pPr>
      <w:r>
        <w:t>10</w:t>
      </w:r>
      <w:r>
        <w:rPr>
          <w:rFonts w:hint="eastAsia"/>
        </w:rPr>
        <w:t xml:space="preserve"> 机柜内</w:t>
      </w:r>
      <w:r>
        <w:t>弱电设备的接地端，应采用截面积不小于4mm</w:t>
      </w:r>
      <w:r>
        <w:rPr>
          <w:rFonts w:hint="eastAsia"/>
        </w:rPr>
        <w:t>²</w:t>
      </w:r>
      <w:r>
        <w:t>的多股绝缘铜线，连接至</w:t>
      </w:r>
      <w:r>
        <w:rPr>
          <w:rFonts w:hint="eastAsia"/>
        </w:rPr>
        <w:t>机柜接地端子</w:t>
      </w:r>
      <w:r>
        <w:t>。</w:t>
      </w:r>
    </w:p>
    <w:p>
      <w:pPr>
        <w:ind w:firstLine="480"/>
      </w:pPr>
      <w:r>
        <w:t>11</w:t>
      </w:r>
      <w:r>
        <w:rPr>
          <w:rFonts w:hint="eastAsia"/>
        </w:rPr>
        <w:t xml:space="preserve"> 机柜</w:t>
      </w:r>
      <w:r>
        <w:t>内强电设备的接地端应使用不小于其相线截面积的多股绝缘铜线连接至</w:t>
      </w:r>
      <w:r>
        <w:rPr>
          <w:rFonts w:hint="eastAsia"/>
        </w:rPr>
        <w:t>机柜接地端子</w:t>
      </w:r>
      <w:r>
        <w:t>。</w:t>
      </w:r>
    </w:p>
    <w:p>
      <w:pPr>
        <w:ind w:firstLine="480"/>
      </w:pPr>
      <w:r>
        <w:t>12</w:t>
      </w:r>
      <w:r>
        <w:rPr>
          <w:rFonts w:hint="eastAsia"/>
        </w:rPr>
        <w:t xml:space="preserve"> 机柜接地排</w:t>
      </w:r>
      <w:r>
        <w:t>至总接地干线之间宜采用截面积不小于16mm</w:t>
      </w:r>
      <w:r>
        <w:rPr>
          <w:rFonts w:hint="eastAsia"/>
        </w:rPr>
        <w:t>²</w:t>
      </w:r>
      <w:r>
        <w:t>的多股绝缘铜线连接。</w:t>
      </w:r>
    </w:p>
    <w:p>
      <w:pPr>
        <w:ind w:firstLine="480"/>
      </w:pPr>
      <w:r>
        <w:t>13</w:t>
      </w:r>
      <w:r>
        <w:rPr>
          <w:rFonts w:hint="eastAsia"/>
        </w:rPr>
        <w:t xml:space="preserve"> </w:t>
      </w:r>
      <w:r>
        <w:t>电源浪涌保护器安装及接线应牢固可靠。各连接导线走线应短直、整齐，不得盘绕。</w:t>
      </w:r>
    </w:p>
    <w:p>
      <w:pPr>
        <w:ind w:firstLine="480"/>
      </w:pPr>
      <w:r>
        <w:t>14</w:t>
      </w:r>
      <w:r>
        <w:rPr>
          <w:rFonts w:hint="eastAsia"/>
        </w:rPr>
        <w:t xml:space="preserve"> </w:t>
      </w:r>
      <w:r>
        <w:t>电涌保护器的最大持续运行电压应不小于表4.4.14所规定的最小值。</w:t>
      </w:r>
    </w:p>
    <w:tbl>
      <w:tblPr>
        <w:tblStyle w:val="42"/>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8"/>
        <w:gridCol w:w="1940"/>
        <w:gridCol w:w="1889"/>
        <w:gridCol w:w="1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6" w:type="dxa"/>
            <w:gridSpan w:val="4"/>
            <w:tcBorders>
              <w:top w:val="nil"/>
              <w:left w:val="nil"/>
              <w:bottom w:val="single" w:color="auto" w:sz="4" w:space="0"/>
              <w:right w:val="nil"/>
            </w:tcBorders>
            <w:vAlign w:val="center"/>
          </w:tcPr>
          <w:p>
            <w:pPr>
              <w:widowControl/>
              <w:spacing w:line="240" w:lineRule="auto"/>
              <w:ind w:firstLine="0" w:firstLineChars="0"/>
              <w:jc w:val="center"/>
              <w:rPr>
                <w:rFonts w:cs="宋体"/>
                <w:kern w:val="0"/>
                <w:szCs w:val="24"/>
                <w:lang w:bidi="mn-Mong-CN"/>
              </w:rPr>
            </w:pPr>
            <w:r>
              <w:rPr>
                <w:rFonts w:hint="eastAsia" w:cs="Times New Roman"/>
                <w:kern w:val="0"/>
                <w:szCs w:val="20"/>
                <w:lang w:bidi="mn-Mong-CN"/>
              </w:rPr>
              <w:t xml:space="preserve">表 </w:t>
            </w:r>
            <w:r>
              <w:rPr>
                <w:rFonts w:cs="Times New Roman"/>
                <w:kern w:val="0"/>
                <w:szCs w:val="20"/>
                <w:lang w:bidi="mn-Mong-CN"/>
              </w:rPr>
              <w:fldChar w:fldCharType="begin"/>
            </w:r>
            <w:r>
              <w:rPr>
                <w:rFonts w:cs="Times New Roman"/>
                <w:kern w:val="0"/>
                <w:szCs w:val="20"/>
                <w:lang w:bidi="mn-Mong-CN"/>
              </w:rPr>
              <w:instrText xml:space="preserve"> </w:instrText>
            </w:r>
            <w:r>
              <w:rPr>
                <w:rFonts w:hint="eastAsia" w:cs="Times New Roman"/>
                <w:kern w:val="0"/>
                <w:szCs w:val="20"/>
                <w:lang w:bidi="mn-Mong-CN"/>
              </w:rPr>
              <w:instrText xml:space="preserve">STYLEREF 3 \s</w:instrText>
            </w:r>
            <w:r>
              <w:rPr>
                <w:rFonts w:cs="Times New Roman"/>
                <w:kern w:val="0"/>
                <w:szCs w:val="20"/>
                <w:lang w:bidi="mn-Mong-CN"/>
              </w:rPr>
              <w:instrText xml:space="preserve"> </w:instrText>
            </w:r>
            <w:r>
              <w:rPr>
                <w:rFonts w:cs="Times New Roman"/>
                <w:kern w:val="0"/>
                <w:szCs w:val="20"/>
                <w:lang w:bidi="mn-Mong-CN"/>
              </w:rPr>
              <w:fldChar w:fldCharType="separate"/>
            </w:r>
            <w:r>
              <w:rPr>
                <w:rFonts w:cs="Times New Roman"/>
                <w:kern w:val="0"/>
                <w:szCs w:val="20"/>
                <w:lang w:bidi="mn-Mong-CN"/>
              </w:rPr>
              <w:t>4.4.14</w:t>
            </w:r>
            <w:r>
              <w:rPr>
                <w:rFonts w:cs="Times New Roman"/>
                <w:kern w:val="0"/>
                <w:szCs w:val="20"/>
                <w:lang w:bidi="mn-Mong-CN"/>
              </w:rPr>
              <w:fldChar w:fldCharType="end"/>
            </w:r>
            <w:r>
              <w:rPr>
                <w:rFonts w:cs="宋体"/>
                <w:kern w:val="0"/>
                <w:szCs w:val="24"/>
                <w:lang w:bidi="mn-Mong-CN"/>
              </w:rPr>
              <w:t xml:space="preserve"> 电涌保护器取决于系统特征所要求的最大持续运行电压最小值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38" w:type="dxa"/>
            <w:vMerge w:val="restart"/>
            <w:tcBorders>
              <w:top w:val="single" w:color="auto" w:sz="4" w:space="0"/>
            </w:tcBorders>
            <w:vAlign w:val="center"/>
          </w:tcPr>
          <w:p>
            <w:pPr>
              <w:autoSpaceDE w:val="0"/>
              <w:autoSpaceDN w:val="0"/>
              <w:spacing w:before="37" w:line="240" w:lineRule="auto"/>
              <w:ind w:left="122" w:right="104" w:firstLine="0" w:firstLineChars="0"/>
              <w:jc w:val="center"/>
              <w:rPr>
                <w:rFonts w:cs="华光书宋_CNKI"/>
                <w:b/>
                <w:kern w:val="0"/>
                <w:sz w:val="21"/>
                <w:szCs w:val="21"/>
                <w:lang w:eastAsia="en-US" w:bidi="mn-Mong-CN"/>
              </w:rPr>
            </w:pPr>
            <w:r>
              <w:rPr>
                <w:rFonts w:hint="eastAsia" w:cs="华光书宋_CNKI"/>
                <w:b/>
                <w:kern w:val="0"/>
                <w:sz w:val="21"/>
                <w:szCs w:val="21"/>
                <w:lang w:eastAsia="en-US" w:bidi="mn-Mong-CN"/>
              </w:rPr>
              <w:t>浪涌保护器接于</w:t>
            </w:r>
          </w:p>
        </w:tc>
        <w:tc>
          <w:tcPr>
            <w:tcW w:w="5668" w:type="dxa"/>
            <w:gridSpan w:val="3"/>
            <w:tcBorders>
              <w:top w:val="single" w:color="auto" w:sz="4" w:space="0"/>
            </w:tcBorders>
          </w:tcPr>
          <w:p>
            <w:pPr>
              <w:autoSpaceDE w:val="0"/>
              <w:autoSpaceDN w:val="0"/>
              <w:spacing w:before="37" w:line="240" w:lineRule="auto"/>
              <w:ind w:left="122" w:right="104" w:firstLine="0" w:firstLineChars="0"/>
              <w:jc w:val="center"/>
              <w:rPr>
                <w:rFonts w:cs="华光书宋_CNKI"/>
                <w:b/>
                <w:kern w:val="0"/>
                <w:sz w:val="21"/>
                <w:szCs w:val="21"/>
                <w:lang w:eastAsia="en-US" w:bidi="mn-Mong-CN"/>
              </w:rPr>
            </w:pPr>
            <w:r>
              <w:rPr>
                <w:rFonts w:cs="华光书宋_CNKI"/>
                <w:b/>
                <w:kern w:val="0"/>
                <w:sz w:val="21"/>
                <w:szCs w:val="21"/>
                <w:lang w:eastAsia="en-US" w:bidi="mn-Mong-CN"/>
              </w:rPr>
              <w:t>配电网络的系统特征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38" w:type="dxa"/>
            <w:vMerge w:val="continue"/>
          </w:tcPr>
          <w:p>
            <w:pPr>
              <w:autoSpaceDE w:val="0"/>
              <w:autoSpaceDN w:val="0"/>
              <w:spacing w:before="37" w:line="240" w:lineRule="auto"/>
              <w:ind w:left="122" w:right="104" w:firstLine="0" w:firstLineChars="0"/>
              <w:jc w:val="center"/>
              <w:rPr>
                <w:rFonts w:cs="华光书宋_CNKI"/>
                <w:b/>
                <w:kern w:val="0"/>
                <w:sz w:val="21"/>
                <w:szCs w:val="21"/>
                <w:lang w:eastAsia="en-US" w:bidi="mn-Mong-CN"/>
              </w:rPr>
            </w:pPr>
          </w:p>
        </w:tc>
        <w:tc>
          <w:tcPr>
            <w:tcW w:w="1940" w:type="dxa"/>
          </w:tcPr>
          <w:p>
            <w:pPr>
              <w:autoSpaceDE w:val="0"/>
              <w:autoSpaceDN w:val="0"/>
              <w:spacing w:before="37" w:line="240" w:lineRule="auto"/>
              <w:ind w:left="122" w:right="104" w:firstLine="0" w:firstLineChars="0"/>
              <w:jc w:val="center"/>
              <w:rPr>
                <w:rFonts w:cs="华光书宋_CNKI"/>
                <w:b/>
                <w:kern w:val="0"/>
                <w:sz w:val="21"/>
                <w:szCs w:val="21"/>
                <w:lang w:eastAsia="en-US" w:bidi="mn-Mong-CN"/>
              </w:rPr>
            </w:pPr>
            <w:r>
              <w:rPr>
                <w:rFonts w:hint="eastAsia" w:cs="华光书宋_CNKI"/>
                <w:b/>
                <w:kern w:val="0"/>
                <w:sz w:val="21"/>
                <w:szCs w:val="21"/>
                <w:lang w:eastAsia="en-US" w:bidi="mn-Mong-CN"/>
              </w:rPr>
              <w:t>TT系统</w:t>
            </w:r>
          </w:p>
        </w:tc>
        <w:tc>
          <w:tcPr>
            <w:tcW w:w="1889" w:type="dxa"/>
          </w:tcPr>
          <w:p>
            <w:pPr>
              <w:autoSpaceDE w:val="0"/>
              <w:autoSpaceDN w:val="0"/>
              <w:spacing w:before="37" w:line="240" w:lineRule="auto"/>
              <w:ind w:left="122" w:right="104" w:firstLine="0" w:firstLineChars="0"/>
              <w:jc w:val="center"/>
              <w:rPr>
                <w:rFonts w:cs="华光书宋_CNKI"/>
                <w:b/>
                <w:kern w:val="0"/>
                <w:sz w:val="21"/>
                <w:szCs w:val="21"/>
                <w:lang w:eastAsia="en-US" w:bidi="mn-Mong-CN"/>
              </w:rPr>
            </w:pPr>
            <w:r>
              <w:rPr>
                <w:rFonts w:hint="eastAsia" w:cs="华光书宋_CNKI"/>
                <w:b/>
                <w:kern w:val="0"/>
                <w:sz w:val="21"/>
                <w:szCs w:val="21"/>
                <w:lang w:eastAsia="en-US" w:bidi="mn-Mong-CN"/>
              </w:rPr>
              <w:t>TN-C系统</w:t>
            </w:r>
          </w:p>
        </w:tc>
        <w:tc>
          <w:tcPr>
            <w:tcW w:w="1839" w:type="dxa"/>
          </w:tcPr>
          <w:p>
            <w:pPr>
              <w:autoSpaceDE w:val="0"/>
              <w:autoSpaceDN w:val="0"/>
              <w:spacing w:before="37" w:line="240" w:lineRule="auto"/>
              <w:ind w:left="122" w:right="104" w:firstLine="0" w:firstLineChars="0"/>
              <w:jc w:val="center"/>
              <w:rPr>
                <w:rFonts w:cs="华光书宋_CNKI"/>
                <w:b/>
                <w:kern w:val="0"/>
                <w:sz w:val="21"/>
                <w:szCs w:val="21"/>
                <w:lang w:eastAsia="en-US" w:bidi="mn-Mong-CN"/>
              </w:rPr>
            </w:pPr>
            <w:r>
              <w:rPr>
                <w:rFonts w:hint="eastAsia" w:cs="华光书宋_CNKI"/>
                <w:b/>
                <w:kern w:val="0"/>
                <w:sz w:val="21"/>
                <w:szCs w:val="21"/>
                <w:lang w:eastAsia="en-US" w:bidi="mn-Mong-CN"/>
              </w:rPr>
              <w:t>T</w:t>
            </w:r>
            <w:r>
              <w:rPr>
                <w:rFonts w:cs="华光书宋_CNKI"/>
                <w:b/>
                <w:kern w:val="0"/>
                <w:sz w:val="21"/>
                <w:szCs w:val="21"/>
                <w:lang w:eastAsia="en-US" w:bidi="mn-Mong-CN"/>
              </w:rPr>
              <w:t>N-S系统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38" w:type="dxa"/>
          </w:tcPr>
          <w:p>
            <w:pPr>
              <w:autoSpaceDE w:val="0"/>
              <w:autoSpaceDN w:val="0"/>
              <w:spacing w:before="37" w:line="240" w:lineRule="auto"/>
              <w:ind w:left="122" w:right="104" w:firstLine="0" w:firstLineChars="0"/>
              <w:jc w:val="center"/>
              <w:rPr>
                <w:rFonts w:cs="华光书宋_CNKI"/>
                <w:kern w:val="0"/>
                <w:sz w:val="21"/>
                <w:szCs w:val="21"/>
                <w:lang w:eastAsia="en-US" w:bidi="mn-Mong-CN"/>
              </w:rPr>
            </w:pPr>
            <w:r>
              <w:rPr>
                <w:rFonts w:cs="华光书宋_CNKI"/>
                <w:kern w:val="0"/>
                <w:sz w:val="21"/>
                <w:szCs w:val="21"/>
                <w:lang w:eastAsia="en-US" w:bidi="mn-Mong-CN"/>
              </w:rPr>
              <w:t>每一相线与中性线间</w:t>
            </w:r>
          </w:p>
        </w:tc>
        <w:tc>
          <w:tcPr>
            <w:tcW w:w="1940" w:type="dxa"/>
          </w:tcPr>
          <w:p>
            <w:pPr>
              <w:autoSpaceDE w:val="0"/>
              <w:autoSpaceDN w:val="0"/>
              <w:spacing w:before="37" w:line="240" w:lineRule="auto"/>
              <w:ind w:left="122" w:right="104" w:firstLine="0" w:firstLineChars="0"/>
              <w:jc w:val="center"/>
              <w:rPr>
                <w:rFonts w:cs="华光书宋_CNKI"/>
                <w:kern w:val="0"/>
                <w:sz w:val="21"/>
                <w:szCs w:val="21"/>
                <w:lang w:eastAsia="en-US" w:bidi="mn-Mong-CN"/>
              </w:rPr>
            </w:pPr>
            <w:r>
              <w:rPr>
                <w:rFonts w:hint="eastAsia" w:cs="华光书宋_CNKI"/>
                <w:kern w:val="0"/>
                <w:sz w:val="21"/>
                <w:szCs w:val="21"/>
                <w:lang w:eastAsia="en-US" w:bidi="mn-Mong-CN"/>
              </w:rPr>
              <w:t>1</w:t>
            </w:r>
            <w:r>
              <w:rPr>
                <w:rFonts w:cs="华光书宋_CNKI"/>
                <w:kern w:val="0"/>
                <w:sz w:val="21"/>
                <w:szCs w:val="21"/>
                <w:lang w:eastAsia="en-US" w:bidi="mn-Mong-CN"/>
              </w:rPr>
              <w:t>.15</w:t>
            </w:r>
            <w:r>
              <w:rPr>
                <w:rFonts w:hint="eastAsia" w:cs="华光书宋_CNKI"/>
                <w:kern w:val="0"/>
                <w:sz w:val="21"/>
                <w:szCs w:val="21"/>
                <w:lang w:eastAsia="en-US" w:bidi="mn-Mong-CN"/>
              </w:rPr>
              <w:t>Uo</w:t>
            </w:r>
          </w:p>
        </w:tc>
        <w:tc>
          <w:tcPr>
            <w:tcW w:w="1889" w:type="dxa"/>
          </w:tcPr>
          <w:p>
            <w:pPr>
              <w:autoSpaceDE w:val="0"/>
              <w:autoSpaceDN w:val="0"/>
              <w:spacing w:before="37" w:line="240" w:lineRule="auto"/>
              <w:ind w:left="122" w:right="104" w:firstLine="0" w:firstLineChars="0"/>
              <w:jc w:val="center"/>
              <w:rPr>
                <w:rFonts w:cs="华光书宋_CNKI"/>
                <w:kern w:val="0"/>
                <w:sz w:val="21"/>
                <w:szCs w:val="21"/>
                <w:lang w:eastAsia="en-US" w:bidi="mn-Mong-CN"/>
              </w:rPr>
            </w:pPr>
            <w:r>
              <w:rPr>
                <w:rFonts w:hint="eastAsia" w:cs="华光书宋_CNKI"/>
                <w:kern w:val="0"/>
                <w:sz w:val="21"/>
                <w:szCs w:val="21"/>
                <w:lang w:eastAsia="en-US" w:bidi="mn-Mong-CN"/>
              </w:rPr>
              <w:t>不适用</w:t>
            </w:r>
          </w:p>
        </w:tc>
        <w:tc>
          <w:tcPr>
            <w:tcW w:w="1839" w:type="dxa"/>
          </w:tcPr>
          <w:p>
            <w:pPr>
              <w:autoSpaceDE w:val="0"/>
              <w:autoSpaceDN w:val="0"/>
              <w:spacing w:before="37" w:line="240" w:lineRule="auto"/>
              <w:ind w:left="122" w:right="104" w:firstLine="0" w:firstLineChars="0"/>
              <w:jc w:val="center"/>
              <w:rPr>
                <w:rFonts w:cs="华光书宋_CNKI"/>
                <w:kern w:val="0"/>
                <w:sz w:val="21"/>
                <w:szCs w:val="21"/>
                <w:lang w:eastAsia="en-US" w:bidi="mn-Mong-CN"/>
              </w:rPr>
            </w:pPr>
            <w:r>
              <w:rPr>
                <w:rFonts w:hint="eastAsia" w:cs="华光书宋_CNKI"/>
                <w:kern w:val="0"/>
                <w:sz w:val="21"/>
                <w:szCs w:val="21"/>
                <w:lang w:eastAsia="en-US" w:bidi="mn-Mong-CN"/>
              </w:rPr>
              <w:t>1</w:t>
            </w:r>
            <w:r>
              <w:rPr>
                <w:rFonts w:cs="华光书宋_CNKI"/>
                <w:kern w:val="0"/>
                <w:sz w:val="21"/>
                <w:szCs w:val="21"/>
                <w:lang w:eastAsia="en-US" w:bidi="mn-Mong-CN"/>
              </w:rPr>
              <w:t>.15</w:t>
            </w:r>
            <w:r>
              <w:rPr>
                <w:rFonts w:hint="eastAsia" w:cs="华光书宋_CNKI"/>
                <w:kern w:val="0"/>
                <w:sz w:val="21"/>
                <w:szCs w:val="21"/>
                <w:lang w:eastAsia="en-US" w:bidi="mn-Mong-CN"/>
              </w:rPr>
              <w:t>Uo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38" w:type="dxa"/>
          </w:tcPr>
          <w:p>
            <w:pPr>
              <w:autoSpaceDE w:val="0"/>
              <w:autoSpaceDN w:val="0"/>
              <w:spacing w:before="37" w:line="240" w:lineRule="auto"/>
              <w:ind w:left="122" w:right="104" w:firstLine="0" w:firstLineChars="0"/>
              <w:jc w:val="center"/>
              <w:rPr>
                <w:rFonts w:cs="华光书宋_CNKI"/>
                <w:kern w:val="0"/>
                <w:sz w:val="21"/>
                <w:szCs w:val="21"/>
                <w:lang w:eastAsia="en-US" w:bidi="mn-Mong-CN"/>
              </w:rPr>
            </w:pPr>
            <w:r>
              <w:rPr>
                <w:rFonts w:cs="华光书宋_CNKI"/>
                <w:kern w:val="0"/>
                <w:sz w:val="21"/>
                <w:szCs w:val="21"/>
                <w:lang w:eastAsia="en-US" w:bidi="mn-Mong-CN"/>
              </w:rPr>
              <w:t>每一相线与PE线间</w:t>
            </w:r>
          </w:p>
        </w:tc>
        <w:tc>
          <w:tcPr>
            <w:tcW w:w="1940" w:type="dxa"/>
          </w:tcPr>
          <w:p>
            <w:pPr>
              <w:autoSpaceDE w:val="0"/>
              <w:autoSpaceDN w:val="0"/>
              <w:spacing w:before="37" w:line="240" w:lineRule="auto"/>
              <w:ind w:left="122" w:right="104" w:firstLine="0" w:firstLineChars="0"/>
              <w:jc w:val="center"/>
              <w:rPr>
                <w:rFonts w:cs="华光书宋_CNKI"/>
                <w:kern w:val="0"/>
                <w:sz w:val="21"/>
                <w:szCs w:val="21"/>
                <w:lang w:eastAsia="en-US" w:bidi="mn-Mong-CN"/>
              </w:rPr>
            </w:pPr>
            <w:r>
              <w:rPr>
                <w:rFonts w:hint="eastAsia" w:cs="华光书宋_CNKI"/>
                <w:kern w:val="0"/>
                <w:sz w:val="21"/>
                <w:szCs w:val="21"/>
                <w:lang w:eastAsia="en-US" w:bidi="mn-Mong-CN"/>
              </w:rPr>
              <w:t>1</w:t>
            </w:r>
            <w:r>
              <w:rPr>
                <w:rFonts w:cs="华光书宋_CNKI"/>
                <w:kern w:val="0"/>
                <w:sz w:val="21"/>
                <w:szCs w:val="21"/>
                <w:lang w:eastAsia="en-US" w:bidi="mn-Mong-CN"/>
              </w:rPr>
              <w:t>.15</w:t>
            </w:r>
            <w:r>
              <w:rPr>
                <w:rFonts w:hint="eastAsia" w:cs="华光书宋_CNKI"/>
                <w:kern w:val="0"/>
                <w:sz w:val="21"/>
                <w:szCs w:val="21"/>
                <w:lang w:eastAsia="en-US" w:bidi="mn-Mong-CN"/>
              </w:rPr>
              <w:t>Uo</w:t>
            </w:r>
          </w:p>
        </w:tc>
        <w:tc>
          <w:tcPr>
            <w:tcW w:w="1889" w:type="dxa"/>
          </w:tcPr>
          <w:p>
            <w:pPr>
              <w:autoSpaceDE w:val="0"/>
              <w:autoSpaceDN w:val="0"/>
              <w:spacing w:before="37" w:line="240" w:lineRule="auto"/>
              <w:ind w:left="122" w:right="104" w:firstLine="0" w:firstLineChars="0"/>
              <w:jc w:val="center"/>
              <w:rPr>
                <w:rFonts w:cs="华光书宋_CNKI"/>
                <w:kern w:val="0"/>
                <w:sz w:val="21"/>
                <w:szCs w:val="21"/>
                <w:lang w:eastAsia="en-US" w:bidi="mn-Mong-CN"/>
              </w:rPr>
            </w:pPr>
            <w:r>
              <w:rPr>
                <w:rFonts w:hint="eastAsia" w:cs="华光书宋_CNKI"/>
                <w:kern w:val="0"/>
                <w:sz w:val="21"/>
                <w:szCs w:val="21"/>
                <w:lang w:eastAsia="en-US" w:bidi="mn-Mong-CN"/>
              </w:rPr>
              <w:t>不适用</w:t>
            </w:r>
          </w:p>
        </w:tc>
        <w:tc>
          <w:tcPr>
            <w:tcW w:w="1839" w:type="dxa"/>
          </w:tcPr>
          <w:p>
            <w:pPr>
              <w:autoSpaceDE w:val="0"/>
              <w:autoSpaceDN w:val="0"/>
              <w:spacing w:before="37" w:line="240" w:lineRule="auto"/>
              <w:ind w:left="122" w:right="104" w:firstLine="0" w:firstLineChars="0"/>
              <w:jc w:val="center"/>
              <w:rPr>
                <w:rFonts w:cs="华光书宋_CNKI"/>
                <w:kern w:val="0"/>
                <w:sz w:val="21"/>
                <w:szCs w:val="21"/>
                <w:lang w:eastAsia="en-US" w:bidi="mn-Mong-CN"/>
              </w:rPr>
            </w:pPr>
            <w:r>
              <w:rPr>
                <w:rFonts w:hint="eastAsia" w:cs="华光书宋_CNKI"/>
                <w:kern w:val="0"/>
                <w:sz w:val="21"/>
                <w:szCs w:val="21"/>
                <w:lang w:eastAsia="en-US" w:bidi="mn-Mong-CN"/>
              </w:rPr>
              <w:t>1</w:t>
            </w:r>
            <w:r>
              <w:rPr>
                <w:rFonts w:cs="华光书宋_CNKI"/>
                <w:kern w:val="0"/>
                <w:sz w:val="21"/>
                <w:szCs w:val="21"/>
                <w:lang w:eastAsia="en-US" w:bidi="mn-Mong-CN"/>
              </w:rPr>
              <w:t>.15</w:t>
            </w:r>
            <w:r>
              <w:rPr>
                <w:rFonts w:hint="eastAsia" w:cs="华光书宋_CNKI"/>
                <w:kern w:val="0"/>
                <w:sz w:val="21"/>
                <w:szCs w:val="21"/>
                <w:lang w:eastAsia="en-US" w:bidi="mn-Mong-CN"/>
              </w:rPr>
              <w:t>Uo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38" w:type="dxa"/>
          </w:tcPr>
          <w:p>
            <w:pPr>
              <w:autoSpaceDE w:val="0"/>
              <w:autoSpaceDN w:val="0"/>
              <w:spacing w:before="37" w:line="240" w:lineRule="auto"/>
              <w:ind w:left="122" w:right="104" w:firstLine="0" w:firstLineChars="0"/>
              <w:jc w:val="center"/>
              <w:rPr>
                <w:rFonts w:cs="华光书宋_CNKI"/>
                <w:kern w:val="0"/>
                <w:sz w:val="21"/>
                <w:szCs w:val="21"/>
                <w:lang w:eastAsia="en-US" w:bidi="mn-Mong-CN"/>
              </w:rPr>
            </w:pPr>
            <w:r>
              <w:rPr>
                <w:rFonts w:cs="华光书宋_CNKI"/>
                <w:kern w:val="0"/>
                <w:sz w:val="21"/>
                <w:szCs w:val="21"/>
                <w:lang w:eastAsia="en-US" w:bidi="mn-Mong-CN"/>
              </w:rPr>
              <w:t>中性线与PE线问</w:t>
            </w:r>
          </w:p>
        </w:tc>
        <w:tc>
          <w:tcPr>
            <w:tcW w:w="1940" w:type="dxa"/>
          </w:tcPr>
          <w:p>
            <w:pPr>
              <w:autoSpaceDE w:val="0"/>
              <w:autoSpaceDN w:val="0"/>
              <w:spacing w:before="37" w:line="240" w:lineRule="auto"/>
              <w:ind w:left="122" w:right="104" w:firstLine="0" w:firstLineChars="0"/>
              <w:jc w:val="center"/>
              <w:rPr>
                <w:rFonts w:cs="华光书宋_CNKI"/>
                <w:kern w:val="0"/>
                <w:sz w:val="21"/>
                <w:szCs w:val="21"/>
                <w:lang w:eastAsia="en-US" w:bidi="mn-Mong-CN"/>
              </w:rPr>
            </w:pPr>
            <w:r>
              <w:rPr>
                <w:rFonts w:hint="eastAsia" w:cs="华光书宋_CNKI"/>
                <w:kern w:val="0"/>
                <w:sz w:val="21"/>
                <w:szCs w:val="21"/>
                <w:lang w:eastAsia="en-US" w:bidi="mn-Mong-CN"/>
              </w:rPr>
              <w:t>Uo</w:t>
            </w:r>
            <w:r>
              <w:rPr>
                <w:rFonts w:cs="华光书宋_CNKI"/>
                <w:kern w:val="0"/>
                <w:sz w:val="21"/>
                <w:szCs w:val="21"/>
                <w:vertAlign w:val="superscript"/>
                <w:lang w:eastAsia="en-US" w:bidi="mn-Mong-CN"/>
              </w:rPr>
              <w:t>*</w:t>
            </w:r>
          </w:p>
        </w:tc>
        <w:tc>
          <w:tcPr>
            <w:tcW w:w="1889" w:type="dxa"/>
          </w:tcPr>
          <w:p>
            <w:pPr>
              <w:autoSpaceDE w:val="0"/>
              <w:autoSpaceDN w:val="0"/>
              <w:spacing w:before="37" w:line="240" w:lineRule="auto"/>
              <w:ind w:left="122" w:right="104" w:firstLine="0" w:firstLineChars="0"/>
              <w:jc w:val="center"/>
              <w:rPr>
                <w:rFonts w:cs="华光书宋_CNKI"/>
                <w:kern w:val="0"/>
                <w:sz w:val="21"/>
                <w:szCs w:val="21"/>
                <w:lang w:eastAsia="en-US" w:bidi="mn-Mong-CN"/>
              </w:rPr>
            </w:pPr>
            <w:r>
              <w:rPr>
                <w:rFonts w:hint="eastAsia" w:cs="华光书宋_CNKI"/>
                <w:kern w:val="0"/>
                <w:sz w:val="21"/>
                <w:szCs w:val="21"/>
                <w:lang w:eastAsia="en-US" w:bidi="mn-Mong-CN"/>
              </w:rPr>
              <w:t>不适用</w:t>
            </w:r>
          </w:p>
        </w:tc>
        <w:tc>
          <w:tcPr>
            <w:tcW w:w="1839" w:type="dxa"/>
          </w:tcPr>
          <w:p>
            <w:pPr>
              <w:autoSpaceDE w:val="0"/>
              <w:autoSpaceDN w:val="0"/>
              <w:spacing w:before="37" w:line="240" w:lineRule="auto"/>
              <w:ind w:left="122" w:right="104" w:firstLine="0" w:firstLineChars="0"/>
              <w:jc w:val="center"/>
              <w:rPr>
                <w:rFonts w:cs="华光书宋_CNKI"/>
                <w:kern w:val="0"/>
                <w:sz w:val="21"/>
                <w:szCs w:val="21"/>
                <w:lang w:eastAsia="en-US" w:bidi="mn-Mong-CN"/>
              </w:rPr>
            </w:pPr>
            <w:r>
              <w:rPr>
                <w:rFonts w:hint="eastAsia" w:cs="华光书宋_CNKI"/>
                <w:kern w:val="0"/>
                <w:sz w:val="21"/>
                <w:szCs w:val="21"/>
                <w:lang w:eastAsia="en-US" w:bidi="mn-Mong-CN"/>
              </w:rPr>
              <w:t>Uo</w:t>
            </w:r>
            <w:r>
              <w:rPr>
                <w:rFonts w:cs="华光书宋_CNKI"/>
                <w:kern w:val="0"/>
                <w:sz w:val="21"/>
                <w:szCs w:val="21"/>
                <w:vertAlign w:val="superscript"/>
                <w:lang w:eastAsia="en-US" w:bidi="mn-Mong-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38" w:type="dxa"/>
          </w:tcPr>
          <w:p>
            <w:pPr>
              <w:autoSpaceDE w:val="0"/>
              <w:autoSpaceDN w:val="0"/>
              <w:spacing w:before="37" w:line="240" w:lineRule="auto"/>
              <w:ind w:left="122" w:right="104" w:firstLine="0" w:firstLineChars="0"/>
              <w:jc w:val="center"/>
              <w:rPr>
                <w:rFonts w:cs="华光书宋_CNKI"/>
                <w:kern w:val="0"/>
                <w:sz w:val="21"/>
                <w:szCs w:val="21"/>
                <w:lang w:bidi="mn-Mong-CN"/>
              </w:rPr>
            </w:pPr>
            <w:r>
              <w:rPr>
                <w:rFonts w:cs="华光书宋_CNKI"/>
                <w:kern w:val="0"/>
                <w:sz w:val="21"/>
                <w:szCs w:val="21"/>
                <w:lang w:bidi="mn-Mong-CN"/>
              </w:rPr>
              <w:t>每一相线</w:t>
            </w:r>
            <w:r>
              <w:rPr>
                <w:rFonts w:hint="eastAsia" w:cs="华光书宋_CNKI"/>
                <w:kern w:val="0"/>
                <w:sz w:val="21"/>
                <w:szCs w:val="21"/>
                <w:lang w:bidi="mn-Mong-CN"/>
              </w:rPr>
              <w:t>与</w:t>
            </w:r>
            <w:r>
              <w:rPr>
                <w:rFonts w:cs="华光书宋_CNKI"/>
                <w:kern w:val="0"/>
                <w:sz w:val="21"/>
                <w:szCs w:val="21"/>
                <w:lang w:bidi="mn-Mong-CN"/>
              </w:rPr>
              <w:t>PEN线</w:t>
            </w:r>
            <w:r>
              <w:rPr>
                <w:rFonts w:hint="eastAsia" w:cs="华光书宋_CNKI"/>
                <w:kern w:val="0"/>
                <w:sz w:val="21"/>
                <w:szCs w:val="21"/>
                <w:lang w:bidi="mn-Mong-CN"/>
              </w:rPr>
              <w:t>间</w:t>
            </w:r>
          </w:p>
        </w:tc>
        <w:tc>
          <w:tcPr>
            <w:tcW w:w="1940" w:type="dxa"/>
          </w:tcPr>
          <w:p>
            <w:pPr>
              <w:autoSpaceDE w:val="0"/>
              <w:autoSpaceDN w:val="0"/>
              <w:spacing w:before="37" w:line="240" w:lineRule="auto"/>
              <w:ind w:left="122" w:right="104" w:firstLine="0" w:firstLineChars="0"/>
              <w:jc w:val="center"/>
              <w:rPr>
                <w:rFonts w:cs="华光书宋_CNKI"/>
                <w:kern w:val="0"/>
                <w:sz w:val="21"/>
                <w:szCs w:val="21"/>
                <w:lang w:eastAsia="en-US" w:bidi="mn-Mong-CN"/>
              </w:rPr>
            </w:pPr>
            <w:r>
              <w:rPr>
                <w:rFonts w:hint="eastAsia" w:cs="华光书宋_CNKI"/>
                <w:kern w:val="0"/>
                <w:sz w:val="21"/>
                <w:szCs w:val="21"/>
                <w:lang w:eastAsia="en-US" w:bidi="mn-Mong-CN"/>
              </w:rPr>
              <w:t>不适用</w:t>
            </w:r>
          </w:p>
        </w:tc>
        <w:tc>
          <w:tcPr>
            <w:tcW w:w="1889" w:type="dxa"/>
          </w:tcPr>
          <w:p>
            <w:pPr>
              <w:autoSpaceDE w:val="0"/>
              <w:autoSpaceDN w:val="0"/>
              <w:spacing w:before="37" w:line="240" w:lineRule="auto"/>
              <w:ind w:left="122" w:right="104" w:firstLine="0" w:firstLineChars="0"/>
              <w:jc w:val="center"/>
              <w:rPr>
                <w:rFonts w:cs="华光书宋_CNKI"/>
                <w:kern w:val="0"/>
                <w:sz w:val="21"/>
                <w:szCs w:val="21"/>
                <w:lang w:eastAsia="en-US" w:bidi="mn-Mong-CN"/>
              </w:rPr>
            </w:pPr>
            <w:r>
              <w:rPr>
                <w:rFonts w:hint="eastAsia" w:cs="华光书宋_CNKI"/>
                <w:kern w:val="0"/>
                <w:sz w:val="21"/>
                <w:szCs w:val="21"/>
                <w:lang w:eastAsia="en-US" w:bidi="mn-Mong-CN"/>
              </w:rPr>
              <w:t>1</w:t>
            </w:r>
            <w:r>
              <w:rPr>
                <w:rFonts w:cs="华光书宋_CNKI"/>
                <w:kern w:val="0"/>
                <w:sz w:val="21"/>
                <w:szCs w:val="21"/>
                <w:lang w:eastAsia="en-US" w:bidi="mn-Mong-CN"/>
              </w:rPr>
              <w:t>.15</w:t>
            </w:r>
            <w:r>
              <w:rPr>
                <w:rFonts w:hint="eastAsia" w:cs="华光书宋_CNKI"/>
                <w:kern w:val="0"/>
                <w:sz w:val="21"/>
                <w:szCs w:val="21"/>
                <w:lang w:eastAsia="en-US" w:bidi="mn-Mong-CN"/>
              </w:rPr>
              <w:t>Uo</w:t>
            </w:r>
          </w:p>
        </w:tc>
        <w:tc>
          <w:tcPr>
            <w:tcW w:w="1839" w:type="dxa"/>
          </w:tcPr>
          <w:p>
            <w:pPr>
              <w:autoSpaceDE w:val="0"/>
              <w:autoSpaceDN w:val="0"/>
              <w:spacing w:before="37" w:line="240" w:lineRule="auto"/>
              <w:ind w:left="122" w:right="104" w:firstLine="0" w:firstLineChars="0"/>
              <w:jc w:val="center"/>
              <w:rPr>
                <w:rFonts w:cs="华光书宋_CNKI"/>
                <w:kern w:val="0"/>
                <w:sz w:val="21"/>
                <w:szCs w:val="21"/>
                <w:lang w:eastAsia="en-US" w:bidi="mn-Mong-CN"/>
              </w:rPr>
            </w:pPr>
            <w:r>
              <w:rPr>
                <w:rFonts w:hint="eastAsia" w:cs="华光书宋_CNKI"/>
                <w:kern w:val="0"/>
                <w:sz w:val="21"/>
                <w:szCs w:val="21"/>
                <w:lang w:eastAsia="en-US" w:bidi="mn-Mong-CN"/>
              </w:rPr>
              <w:t>不适用</w:t>
            </w:r>
          </w:p>
        </w:tc>
      </w:tr>
    </w:tbl>
    <w:p>
      <w:pPr>
        <w:spacing w:line="240" w:lineRule="auto"/>
        <w:ind w:firstLine="0" w:firstLineChars="0"/>
        <w:rPr>
          <w:rFonts w:cs="Mongolian Baiti"/>
          <w:sz w:val="21"/>
          <w:szCs w:val="24"/>
        </w:rPr>
      </w:pPr>
      <w:r>
        <w:rPr>
          <w:rFonts w:cs="Mongolian Baiti"/>
          <w:sz w:val="21"/>
          <w:szCs w:val="24"/>
        </w:rPr>
        <w:t>注：</w:t>
      </w:r>
      <w:r>
        <w:rPr>
          <w:rFonts w:hint="eastAsia" w:cs="Mongolian Baiti"/>
          <w:sz w:val="21"/>
          <w:szCs w:val="24"/>
        </w:rPr>
        <w:t xml:space="preserve"> </w:t>
      </w:r>
      <w:r>
        <w:rPr>
          <w:rFonts w:cs="Mongolian Baiti"/>
          <w:sz w:val="21"/>
          <w:szCs w:val="24"/>
        </w:rPr>
        <w:t>1 标有</w:t>
      </w:r>
      <w:r>
        <w:rPr>
          <w:rFonts w:hint="eastAsia" w:cs="Mongolian Baiti"/>
          <w:sz w:val="21"/>
          <w:szCs w:val="24"/>
        </w:rPr>
        <w:t>*</w:t>
      </w:r>
      <w:r>
        <w:rPr>
          <w:rFonts w:cs="Mongolian Baiti"/>
          <w:sz w:val="21"/>
          <w:szCs w:val="24"/>
        </w:rPr>
        <w:t>的值是故障下最坏的情况,所以不需计及15%的允许误差。</w:t>
      </w:r>
    </w:p>
    <w:p>
      <w:pPr>
        <w:spacing w:line="240" w:lineRule="auto"/>
        <w:ind w:left="840" w:firstLine="0" w:firstLineChars="0"/>
        <w:rPr>
          <w:rFonts w:cs="Mongolian Baiti"/>
          <w:sz w:val="21"/>
          <w:szCs w:val="24"/>
        </w:rPr>
      </w:pPr>
      <w:r>
        <w:rPr>
          <w:rFonts w:cs="Mongolian Baiti"/>
          <w:sz w:val="21"/>
          <w:szCs w:val="24"/>
        </w:rPr>
        <w:t xml:space="preserve">2 </w:t>
      </w:r>
      <w:r>
        <w:rPr>
          <w:rFonts w:hint="eastAsia" w:cs="Mongolian Baiti"/>
          <w:sz w:val="21"/>
          <w:szCs w:val="24"/>
        </w:rPr>
        <w:t>Uo</w:t>
      </w:r>
      <w:r>
        <w:rPr>
          <w:rFonts w:cs="Mongolian Baiti"/>
          <w:sz w:val="21"/>
          <w:szCs w:val="24"/>
        </w:rPr>
        <w:t>是低压系统相线对中性线的标称电压,即相电压220V</w:t>
      </w:r>
      <w:r>
        <w:rPr>
          <w:rFonts w:hint="eastAsia" w:cs="Mongolian Baiti"/>
          <w:sz w:val="21"/>
          <w:szCs w:val="24"/>
        </w:rPr>
        <w:t>。</w:t>
      </w:r>
    </w:p>
    <w:p>
      <w:pPr>
        <w:spacing w:line="240" w:lineRule="auto"/>
        <w:ind w:left="840" w:firstLine="0" w:firstLineChars="0"/>
        <w:rPr>
          <w:rFonts w:cs="Mongolian Baiti"/>
          <w:sz w:val="21"/>
          <w:szCs w:val="24"/>
        </w:rPr>
      </w:pPr>
      <w:r>
        <w:rPr>
          <w:rFonts w:cs="Mongolian Baiti"/>
          <w:sz w:val="21"/>
          <w:szCs w:val="24"/>
        </w:rPr>
        <w:t>3 此表基于按现行国家标准《低压配电系统的电涌保护器（SPD）第1部分：性能要求和实验方法</w:t>
      </w:r>
      <w:r>
        <w:rPr>
          <w:rFonts w:hint="eastAsia" w:cs="Mongolian Baiti"/>
          <w:sz w:val="21"/>
          <w:szCs w:val="24"/>
        </w:rPr>
        <w:t>》G</w:t>
      </w:r>
      <w:r>
        <w:rPr>
          <w:rFonts w:cs="Mongolian Baiti"/>
          <w:sz w:val="21"/>
          <w:szCs w:val="24"/>
        </w:rPr>
        <w:t>B 18802.1 标准做过相关试验的电涌保护器产品</w:t>
      </w:r>
      <w:r>
        <w:rPr>
          <w:rFonts w:hint="eastAsia" w:cs="Mongolian Baiti"/>
          <w:sz w:val="21"/>
          <w:szCs w:val="24"/>
        </w:rPr>
        <w:t>。</w:t>
      </w:r>
    </w:p>
    <w:p>
      <w:pPr>
        <w:ind w:firstLine="480"/>
      </w:pPr>
      <w:r>
        <w:t>15</w:t>
      </w:r>
      <w:r>
        <w:rPr>
          <w:rFonts w:hint="eastAsia"/>
        </w:rPr>
        <w:t xml:space="preserve"> </w:t>
      </w:r>
      <w:r>
        <w:t>信号线路浪涌保护器的接地线宜采用截面积不小于1.5mm</w:t>
      </w:r>
      <w:r>
        <w:rPr>
          <w:rFonts w:hint="eastAsia"/>
        </w:rPr>
        <w:t>²</w:t>
      </w:r>
      <w:r>
        <w:t>的铜芯导线，接地线应平直，并应就近</w:t>
      </w:r>
      <w:r>
        <w:rPr>
          <w:rFonts w:hint="eastAsia"/>
        </w:rPr>
        <w:t>经</w:t>
      </w:r>
      <w:r>
        <w:t>被保护设备的接地汇流排（端）接地</w:t>
      </w:r>
      <w:r>
        <w:rPr>
          <w:rFonts w:hint="eastAsia"/>
        </w:rPr>
        <w:t>。</w:t>
      </w:r>
    </w:p>
    <w:p>
      <w:pPr>
        <w:pStyle w:val="4"/>
      </w:pPr>
      <w:r>
        <w:rPr>
          <w:rFonts w:hint="eastAsia"/>
        </w:rPr>
        <w:t>系统布线应分为电源布线和通讯布线。强弱电应分离布设，线缆选型应符合《低压配电设计规范》GB</w:t>
      </w:r>
      <w:r>
        <w:t xml:space="preserve"> </w:t>
      </w:r>
      <w:r>
        <w:rPr>
          <w:rFonts w:hint="eastAsia"/>
        </w:rPr>
        <w:t>50054的要求，传感器线缆、光缆、电缆等综合布线设计应符合《综合布线系统工程设计规范》GB 50311的要求，还应</w:t>
      </w:r>
      <w:r>
        <w:t>符合下列规定</w:t>
      </w:r>
      <w:r>
        <w:rPr>
          <w:rFonts w:hint="eastAsia"/>
        </w:rPr>
        <w:t>：</w:t>
      </w:r>
    </w:p>
    <w:p>
      <w:pPr>
        <w:ind w:firstLine="480"/>
      </w:pPr>
      <w:r>
        <w:rPr>
          <w:rFonts w:hint="eastAsia"/>
        </w:rPr>
        <w:t>1 系统电源布线应符合下列规定：</w:t>
      </w:r>
    </w:p>
    <w:p>
      <w:pPr>
        <w:ind w:firstLine="720" w:firstLineChars="300"/>
      </w:pPr>
      <w:r>
        <w:rPr>
          <w:rFonts w:hint="eastAsia"/>
        </w:rPr>
        <w:t>1）供电电缆应满足设备用电功率、传输距离的技术要求；</w:t>
      </w:r>
    </w:p>
    <w:p>
      <w:pPr>
        <w:ind w:firstLine="720" w:firstLineChars="300"/>
      </w:pPr>
      <w:r>
        <w:t>2</w:t>
      </w:r>
      <w:r>
        <w:rPr>
          <w:rFonts w:hint="eastAsia"/>
        </w:rPr>
        <w:t>）供电电源布线应保持平直，避免锐角弯曲；</w:t>
      </w:r>
    </w:p>
    <w:p>
      <w:pPr>
        <w:ind w:firstLine="720" w:firstLineChars="300"/>
      </w:pPr>
      <w:r>
        <w:t>3</w:t>
      </w:r>
      <w:r>
        <w:rPr>
          <w:rFonts w:hint="eastAsia"/>
        </w:rPr>
        <w:t>）监测系统供电电缆应使用额定电压不低于</w:t>
      </w:r>
      <w:r>
        <w:t>500</w:t>
      </w:r>
      <w:r>
        <w:rPr>
          <w:rFonts w:hint="eastAsia"/>
        </w:rPr>
        <w:t>V的铜芯绝缘线，监测系统整体功率小于4</w:t>
      </w:r>
      <w:r>
        <w:t>00</w:t>
      </w:r>
      <w:r>
        <w:rPr>
          <w:rFonts w:hint="eastAsia"/>
        </w:rPr>
        <w:t>W时，线芯截面不应小于1mm²，系统功率介于4</w:t>
      </w:r>
      <w:r>
        <w:t>00</w:t>
      </w:r>
      <w:r>
        <w:rPr>
          <w:rFonts w:hint="eastAsia"/>
        </w:rPr>
        <w:t>W～</w:t>
      </w:r>
      <w:r>
        <w:t>2000</w:t>
      </w:r>
      <w:r>
        <w:rPr>
          <w:rFonts w:hint="eastAsia"/>
        </w:rPr>
        <w:t>W之间的线芯截面不应小于</w:t>
      </w:r>
      <w:r>
        <w:t>1</w:t>
      </w:r>
      <w:r>
        <w:rPr>
          <w:rFonts w:hint="eastAsia"/>
        </w:rPr>
        <w:t>.</w:t>
      </w:r>
      <w:r>
        <w:t>5</w:t>
      </w:r>
      <w:r>
        <w:rPr>
          <w:rFonts w:hint="eastAsia"/>
        </w:rPr>
        <w:t>mm²；</w:t>
      </w:r>
    </w:p>
    <w:p>
      <w:pPr>
        <w:ind w:firstLine="720" w:firstLineChars="300"/>
      </w:pPr>
      <w:r>
        <w:rPr>
          <w:rFonts w:hint="eastAsia"/>
        </w:rPr>
        <w:t>4）线缆走线宜采用桥架方式走线，强弱电分离；强弱电走同一桥架宜选用分隔式桥架，且桥架良好接地。</w:t>
      </w:r>
    </w:p>
    <w:p>
      <w:pPr>
        <w:ind w:firstLine="480"/>
      </w:pPr>
      <w:r>
        <w:t>2</w:t>
      </w:r>
      <w:r>
        <w:rPr>
          <w:rFonts w:hint="eastAsia"/>
        </w:rPr>
        <w:t xml:space="preserve"> 系统通讯综合布线应符合下列规定：</w:t>
      </w:r>
    </w:p>
    <w:p>
      <w:pPr>
        <w:ind w:firstLine="720" w:firstLineChars="300"/>
      </w:pPr>
      <w:r>
        <w:rPr>
          <w:rFonts w:hint="eastAsia"/>
        </w:rPr>
        <w:t>1）通讯线缆应依据不同的信号类型、传输距离进行选型；</w:t>
      </w:r>
    </w:p>
    <w:p>
      <w:pPr>
        <w:ind w:firstLine="720" w:firstLineChars="300"/>
      </w:pPr>
      <w:r>
        <w:t>2</w:t>
      </w:r>
      <w:r>
        <w:rPr>
          <w:rFonts w:hint="eastAsia"/>
        </w:rPr>
        <w:t>）4</w:t>
      </w:r>
      <w:r>
        <w:t>85</w:t>
      </w:r>
      <w:r>
        <w:rPr>
          <w:rFonts w:hint="eastAsia"/>
        </w:rPr>
        <w:t>通讯线布线距离宜不大于</w:t>
      </w:r>
      <w:r>
        <w:t>500</w:t>
      </w:r>
      <w:r>
        <w:rPr>
          <w:rFonts w:hint="eastAsia"/>
        </w:rPr>
        <w:t>m，布线距离小于</w:t>
      </w:r>
      <w:r>
        <w:t>500</w:t>
      </w:r>
      <w:r>
        <w:rPr>
          <w:rFonts w:hint="eastAsia"/>
        </w:rPr>
        <w:t>m时，宜选用0</w:t>
      </w:r>
      <w:r>
        <w:t>.5</w:t>
      </w:r>
      <w:r>
        <w:rPr>
          <w:rFonts w:hint="eastAsia"/>
        </w:rPr>
        <w:t>mm²屏蔽双绞线；如不可避免引入分支节点，分支节点布线长度一般不大于2m；总线连接方法应采用总线型拓扑结构，</w:t>
      </w:r>
      <w:bookmarkStart w:id="28" w:name="_Hlk135754752"/>
      <w:r>
        <w:rPr>
          <w:rFonts w:hint="eastAsia"/>
        </w:rPr>
        <w:t>总线屏蔽接地应选择单点接地方式。</w:t>
      </w:r>
      <w:bookmarkEnd w:id="28"/>
    </w:p>
    <w:p>
      <w:pPr>
        <w:ind w:firstLine="720" w:firstLineChars="300"/>
      </w:pPr>
      <w:r>
        <w:t>3</w:t>
      </w:r>
      <w:r>
        <w:rPr>
          <w:rFonts w:hint="eastAsia"/>
        </w:rPr>
        <w:t>）振弦频率信号布线宜选用屏蔽电缆，布设距离宜小于</w:t>
      </w:r>
      <w:r>
        <w:t>300</w:t>
      </w:r>
      <w:r>
        <w:rPr>
          <w:rFonts w:hint="eastAsia"/>
        </w:rPr>
        <w:t>m；</w:t>
      </w:r>
    </w:p>
    <w:p>
      <w:pPr>
        <w:ind w:firstLine="720" w:firstLineChars="300"/>
      </w:pPr>
      <w:r>
        <w:t>4</w:t>
      </w:r>
      <w:r>
        <w:rPr>
          <w:rFonts w:hint="eastAsia"/>
        </w:rPr>
        <w:t>）采用模拟信号传输的加速度传感器传输布线宜选用同轴屏蔽线缆，布设距离应不大于</w:t>
      </w:r>
      <w:r>
        <w:t>500</w:t>
      </w:r>
      <w:r>
        <w:rPr>
          <w:rFonts w:hint="eastAsia"/>
        </w:rPr>
        <w:t>m，应与强电分隔布线；</w:t>
      </w:r>
    </w:p>
    <w:p>
      <w:pPr>
        <w:ind w:firstLine="720" w:firstLineChars="300"/>
      </w:pPr>
      <w:r>
        <w:t>5</w:t>
      </w:r>
      <w:r>
        <w:rPr>
          <w:rFonts w:hint="eastAsia"/>
        </w:rPr>
        <w:t>）RJ</w:t>
      </w:r>
      <w:r>
        <w:t>45</w:t>
      </w:r>
      <w:r>
        <w:rPr>
          <w:rFonts w:hint="eastAsia"/>
        </w:rPr>
        <w:t>网线选取宜不低于CAT</w:t>
      </w:r>
      <w:r>
        <w:t>5</w:t>
      </w:r>
      <w:r>
        <w:rPr>
          <w:rFonts w:hint="eastAsia"/>
        </w:rPr>
        <w:t>E标准，布设距离应不大于1</w:t>
      </w:r>
      <w:r>
        <w:t>00</w:t>
      </w:r>
      <w:r>
        <w:rPr>
          <w:rFonts w:hint="eastAsia"/>
        </w:rPr>
        <w:t>m，应与强电间隔布线；</w:t>
      </w:r>
    </w:p>
    <w:p>
      <w:pPr>
        <w:ind w:firstLine="720" w:firstLineChars="300"/>
      </w:pPr>
      <w:r>
        <w:t>6</w:t>
      </w:r>
      <w:r>
        <w:rPr>
          <w:rFonts w:hint="eastAsia"/>
        </w:rPr>
        <w:t>）光缆铺设应避免直角弯曲，光纤的最小容许弯曲半径，单条光缆宜不小于其外径的20倍；光纤在接头部位有至少1m的余留长度，弯曲半径不小于40mm。光纤类传感器如光纤光栅应变计同一通道内多传感器串接时宜采用熔接方式连接，且熔接光衰不应大于0</w:t>
      </w:r>
      <w:r>
        <w:t>.3</w:t>
      </w:r>
      <w:r>
        <w:rPr>
          <w:rFonts w:hint="eastAsia"/>
        </w:rPr>
        <w:t>db，光纤接头处应做防水、防尘、防拉处理；</w:t>
      </w:r>
    </w:p>
    <w:p>
      <w:pPr>
        <w:ind w:firstLine="720" w:firstLineChars="300"/>
      </w:pPr>
      <w:r>
        <w:t>7</w:t>
      </w:r>
      <w:r>
        <w:rPr>
          <w:rFonts w:hint="eastAsia"/>
        </w:rPr>
        <w:t>）系统专用的不间断供电回路、系统通信光纤网，宜与桥梁原交通机电系统联合设计，并由专业施工人员接入。</w:t>
      </w:r>
    </w:p>
    <w:p>
      <w:pPr>
        <w:pStyle w:val="3"/>
        <w:jc w:val="center"/>
      </w:pPr>
      <w:bookmarkStart w:id="29" w:name="_Toc136506061"/>
      <w:r>
        <w:rPr>
          <w:rFonts w:hint="eastAsia"/>
        </w:rPr>
        <w:t>软件</w:t>
      </w:r>
      <w:r>
        <w:t>系统</w:t>
      </w:r>
      <w:r>
        <w:rPr>
          <w:rFonts w:hint="eastAsia"/>
        </w:rPr>
        <w:t>设计</w:t>
      </w:r>
      <w:bookmarkEnd w:id="29"/>
    </w:p>
    <w:p>
      <w:pPr>
        <w:pStyle w:val="4"/>
      </w:pPr>
      <w:r>
        <w:rPr>
          <w:rFonts w:hint="eastAsia"/>
        </w:rPr>
        <w:t>软件系统架构、数据库、应用组件宜采用开源技术。</w:t>
      </w:r>
    </w:p>
    <w:p>
      <w:pPr>
        <w:pStyle w:val="4"/>
      </w:pPr>
      <w:r>
        <w:rPr>
          <w:rFonts w:hint="eastAsia"/>
        </w:rPr>
        <w:t>软件系统宜按省级监测系统平台的数据交互与共享要求预留传输接口。</w:t>
      </w:r>
    </w:p>
    <w:p>
      <w:pPr>
        <w:pStyle w:val="4"/>
      </w:pPr>
      <w:r>
        <w:rPr>
          <w:rFonts w:hint="eastAsia"/>
        </w:rPr>
        <w:t>软件系统宜按照</w:t>
      </w:r>
      <w:r>
        <w:t>《信息安全技术</w:t>
      </w:r>
      <w:r>
        <w:rPr>
          <w:rFonts w:hint="eastAsia"/>
        </w:rPr>
        <w:t xml:space="preserve"> </w:t>
      </w:r>
      <w:r>
        <w:t>网络安全等级保护基本要求》</w:t>
      </w:r>
      <w:r>
        <w:rPr>
          <w:rFonts w:hint="eastAsia"/>
        </w:rPr>
        <w:t>GB/T</w:t>
      </w:r>
      <w:r>
        <w:t xml:space="preserve"> </w:t>
      </w:r>
      <w:r>
        <w:rPr>
          <w:rFonts w:hint="eastAsia"/>
        </w:rPr>
        <w:t>22239、《信息安全技术 网络安全等级保护安全设计技术要求》GB/T</w:t>
      </w:r>
      <w:r>
        <w:t xml:space="preserve"> </w:t>
      </w:r>
      <w:r>
        <w:rPr>
          <w:rFonts w:hint="eastAsia"/>
        </w:rPr>
        <w:t>25070的相关规定构建系统信息安全保护体系。</w:t>
      </w:r>
    </w:p>
    <w:p>
      <w:pPr>
        <w:pStyle w:val="4"/>
      </w:pPr>
      <w:r>
        <w:rPr>
          <w:rFonts w:hint="eastAsia"/>
        </w:rPr>
        <w:t>软件架构及功能设计应</w:t>
      </w:r>
      <w:r>
        <w:t>符合下列</w:t>
      </w:r>
      <w:r>
        <w:rPr>
          <w:rFonts w:hint="eastAsia"/>
        </w:rPr>
        <w:t>规定：</w:t>
      </w:r>
    </w:p>
    <w:p>
      <w:pPr>
        <w:ind w:firstLine="480"/>
      </w:pPr>
      <w:r>
        <w:rPr>
          <w:rFonts w:hint="eastAsia"/>
        </w:rPr>
        <w:t>1 软件系统架构及功能设计应考虑安全性、可靠性和技术先进性，可采用边缘计算、分布式处理、消息中间件、时序数据库等先进可靠技术。</w:t>
      </w:r>
    </w:p>
    <w:p>
      <w:pPr>
        <w:ind w:firstLine="480"/>
      </w:pPr>
      <w:r>
        <w:rPr>
          <w:rFonts w:hint="eastAsia"/>
        </w:rPr>
        <w:t>2</w:t>
      </w:r>
      <w:r>
        <w:t xml:space="preserve"> </w:t>
      </w:r>
      <w:r>
        <w:rPr>
          <w:rFonts w:hint="eastAsia"/>
        </w:rPr>
        <w:t>软件系统应包括系统管理功能模块、数据采集与传输功能模块、数据处理与管理功能模块、数据分析与安全预警及评估功能模块。</w:t>
      </w:r>
    </w:p>
    <w:p>
      <w:pPr>
        <w:ind w:firstLine="480"/>
      </w:pPr>
      <w:r>
        <w:rPr>
          <w:rFonts w:hint="eastAsia"/>
        </w:rPr>
        <w:t>3 系统管理功能模块应包含用户管理、设备管理及设施管理功能。</w:t>
      </w:r>
    </w:p>
    <w:p>
      <w:pPr>
        <w:ind w:firstLine="480"/>
      </w:pPr>
      <w:r>
        <w:t>4</w:t>
      </w:r>
      <w:r>
        <w:rPr>
          <w:rFonts w:hint="eastAsia"/>
        </w:rPr>
        <w:t>数据处理与管理功能模块应提供桥梁监测数据的处理、查询、存储与管理等功能。</w:t>
      </w:r>
    </w:p>
    <w:p>
      <w:pPr>
        <w:ind w:firstLine="480"/>
      </w:pPr>
      <w:r>
        <w:t>5</w:t>
      </w:r>
      <w:r>
        <w:rPr>
          <w:rFonts w:hint="eastAsia"/>
        </w:rPr>
        <w:t>数据分析与安全预警及评估功能模块应包括监测数据在线显示、数据分析、安全预警。</w:t>
      </w:r>
    </w:p>
    <w:p>
      <w:pPr>
        <w:ind w:firstLine="480"/>
      </w:pPr>
      <w:r>
        <w:t>6</w:t>
      </w:r>
      <w:r>
        <w:rPr>
          <w:rFonts w:hint="eastAsia"/>
        </w:rPr>
        <w:t xml:space="preserve"> 系统应具有根据传感器测量误差随时间变化关系实现监测数据误差修正的功能。</w:t>
      </w:r>
    </w:p>
    <w:p>
      <w:pPr>
        <w:ind w:firstLine="480"/>
      </w:pPr>
      <w:r>
        <w:t>7</w:t>
      </w:r>
      <w:r>
        <w:rPr>
          <w:rFonts w:hint="eastAsia"/>
        </w:rPr>
        <w:t xml:space="preserve"> 系统应对高频数据实时展示，宜采用时程曲线、数据列表、大屏驾驶舱等多种方式展示数据实时变化及规律。</w:t>
      </w:r>
    </w:p>
    <w:p>
      <w:pPr>
        <w:ind w:firstLine="480"/>
      </w:pPr>
      <w:r>
        <w:t>8</w:t>
      </w:r>
      <w:r>
        <w:rPr>
          <w:rFonts w:hint="eastAsia"/>
        </w:rPr>
        <w:t>系统应提供监测报告</w:t>
      </w:r>
      <w:r>
        <w:t>生成</w:t>
      </w:r>
      <w:r>
        <w:rPr>
          <w:rFonts w:hint="eastAsia"/>
        </w:rPr>
        <w:t>、</w:t>
      </w:r>
      <w:r>
        <w:t>查看</w:t>
      </w:r>
      <w:r>
        <w:rPr>
          <w:rFonts w:hint="eastAsia"/>
        </w:rPr>
        <w:t>和</w:t>
      </w:r>
      <w:r>
        <w:t>下载</w:t>
      </w:r>
      <w:r>
        <w:rPr>
          <w:rFonts w:hint="eastAsia"/>
        </w:rPr>
        <w:t>功能，报告分为监测日报、季报、年报和评估报告。</w:t>
      </w:r>
    </w:p>
    <w:p>
      <w:pPr>
        <w:pStyle w:val="4"/>
      </w:pPr>
      <w:r>
        <w:rPr>
          <w:rFonts w:hint="eastAsia"/>
        </w:rPr>
        <w:t>数据库设计应</w:t>
      </w:r>
      <w:r>
        <w:t>符合下列</w:t>
      </w:r>
      <w:r>
        <w:rPr>
          <w:rFonts w:hint="eastAsia"/>
        </w:rPr>
        <w:t>规定：</w:t>
      </w:r>
    </w:p>
    <w:p>
      <w:pPr>
        <w:ind w:firstLine="480"/>
      </w:pPr>
      <w:r>
        <w:rPr>
          <w:rFonts w:hint="eastAsia"/>
        </w:rPr>
        <w:t>1 数据库应采用技术先进、稳定可靠、易于扩展的设计方案，设计方案应遵循数据的完整性和一致性原则；宜采用分布式数据库、时序数据库等存储监测数据。</w:t>
      </w:r>
    </w:p>
    <w:p>
      <w:pPr>
        <w:ind w:firstLine="480"/>
      </w:pPr>
      <w:r>
        <w:rPr>
          <w:rFonts w:hint="eastAsia"/>
        </w:rPr>
        <w:t>2 数据库系统宜具备身份鉴别、主动访问控制、安全审计等安全防护功能。</w:t>
      </w:r>
    </w:p>
    <w:p>
      <w:pPr>
        <w:ind w:firstLine="480"/>
      </w:pPr>
      <w:r>
        <w:rPr>
          <w:rFonts w:hint="eastAsia"/>
        </w:rPr>
        <w:t>3 数据库系统的设计及功能等应符合</w:t>
      </w:r>
      <w:r>
        <w:rPr>
          <w:rFonts w:hint="eastAsia"/>
          <w:bCs/>
          <w:szCs w:val="32"/>
        </w:rPr>
        <w:t>《建筑与桥梁结构监测技术规范</w:t>
      </w:r>
      <w:r>
        <w:rPr>
          <w:rFonts w:hint="eastAsia"/>
        </w:rPr>
        <w:t>》GB</w:t>
      </w:r>
      <w:r>
        <w:t xml:space="preserve"> </w:t>
      </w:r>
      <w:r>
        <w:rPr>
          <w:rFonts w:hint="eastAsia"/>
        </w:rPr>
        <w:t>50982的相关要求。</w:t>
      </w:r>
    </w:p>
    <w:p>
      <w:pPr>
        <w:ind w:firstLine="480"/>
      </w:pPr>
      <w:r>
        <w:rPr>
          <w:rFonts w:hint="eastAsia"/>
        </w:rPr>
        <w:t>4 数据库系统宜针对具体需求提供数据备份功能，保障数据安全。</w:t>
      </w:r>
    </w:p>
    <w:p>
      <w:pPr>
        <w:ind w:firstLine="480"/>
      </w:pPr>
      <w:r>
        <w:rPr>
          <w:rFonts w:hint="eastAsia"/>
        </w:rPr>
        <w:t>5 数据库系统宜具备数据仓库拓展功能或具备向数据仓库系统迁移能力。</w:t>
      </w:r>
    </w:p>
    <w:p>
      <w:pPr>
        <w:ind w:firstLine="480"/>
      </w:pPr>
      <w:r>
        <w:rPr>
          <w:rFonts w:hint="eastAsia"/>
        </w:rPr>
        <w:t>6 数据库架构设计除执行本规范外，尚应符合国家及行业现行相关标准的规定。</w:t>
      </w:r>
    </w:p>
    <w:p>
      <w:pPr>
        <w:ind w:firstLine="480"/>
      </w:pPr>
      <w:r>
        <w:rPr>
          <w:rFonts w:hint="eastAsia"/>
        </w:rPr>
        <w:t>7 数据库中表的主键字段宜创建聚集索引，宜对常用查询字段设置索引。</w:t>
      </w:r>
    </w:p>
    <w:p>
      <w:pPr>
        <w:ind w:firstLine="480"/>
      </w:pPr>
      <w:r>
        <w:rPr>
          <w:rFonts w:hint="eastAsia"/>
        </w:rPr>
        <w:t>8</w:t>
      </w:r>
      <w:r>
        <w:t xml:space="preserve"> </w:t>
      </w:r>
      <w:r>
        <w:rPr>
          <w:rFonts w:hint="eastAsia"/>
        </w:rPr>
        <w:t>数据库架构设计应考虑基础信息表、监测数据表、功能表与其他数据库系统或软件系统的数据交换需求。</w:t>
      </w:r>
    </w:p>
    <w:p>
      <w:pPr>
        <w:ind w:firstLine="480"/>
      </w:pPr>
      <w:r>
        <w:rPr>
          <w:rFonts w:hint="eastAsia"/>
        </w:rPr>
        <w:t>9 基础信息表应包括桥梁信息表、构件信息表、传感器配置表、设备信息表、监测类型配置表等。</w:t>
      </w:r>
    </w:p>
    <w:p>
      <w:pPr>
        <w:ind w:firstLine="480"/>
      </w:pPr>
      <w:r>
        <w:rPr>
          <w:rFonts w:hint="eastAsia"/>
        </w:rPr>
        <w:t>10 基础信息表的字段应覆盖桥梁健康监测系统需要的桥梁、传感器及设备信息等。</w:t>
      </w:r>
    </w:p>
    <w:p>
      <w:pPr>
        <w:ind w:firstLine="480"/>
      </w:pPr>
      <w:r>
        <w:rPr>
          <w:rFonts w:hint="eastAsia"/>
        </w:rPr>
        <w:t>11 采用传统关系型数据库存储监测数据时，监测数据表应根据不同类型的监测数据分表进行设计，其对应每个具体测量参数应设计独立的表。</w:t>
      </w:r>
    </w:p>
    <w:p>
      <w:pPr>
        <w:ind w:firstLine="480"/>
      </w:pPr>
      <w:r>
        <w:rPr>
          <w:rFonts w:hint="eastAsia"/>
        </w:rPr>
        <w:t>12业务功能表应体现对基础信息数据及业务数据的统计、展示、分析等功能，应根据不同功能模块分表进行设计。</w:t>
      </w:r>
    </w:p>
    <w:p>
      <w:pPr>
        <w:pStyle w:val="4"/>
      </w:pPr>
      <w:r>
        <w:rPr>
          <w:rFonts w:hint="eastAsia"/>
        </w:rPr>
        <w:t>用户界面设计应</w:t>
      </w:r>
      <w:r>
        <w:t>符合下列</w:t>
      </w:r>
      <w:r>
        <w:rPr>
          <w:rFonts w:hint="eastAsia"/>
        </w:rPr>
        <w:t>规定：</w:t>
      </w:r>
    </w:p>
    <w:p>
      <w:pPr>
        <w:ind w:firstLine="480"/>
      </w:pPr>
      <w:r>
        <w:rPr>
          <w:rFonts w:hint="eastAsia"/>
        </w:rPr>
        <w:t>1</w:t>
      </w:r>
      <w:r>
        <w:t xml:space="preserve"> </w:t>
      </w:r>
      <w:r>
        <w:rPr>
          <w:rFonts w:hint="eastAsia"/>
        </w:rPr>
        <w:t>用户界面应采用数据驾驶舱看板，应能清晰直观反映数据变化，且符合用户使用习惯。</w:t>
      </w:r>
    </w:p>
    <w:p>
      <w:pPr>
        <w:ind w:firstLine="480"/>
      </w:pPr>
      <w:r>
        <w:rPr>
          <w:rFonts w:hint="eastAsia"/>
        </w:rPr>
        <w:t>2</w:t>
      </w:r>
      <w:r>
        <w:t xml:space="preserve"> </w:t>
      </w:r>
      <w:r>
        <w:rPr>
          <w:rFonts w:hint="eastAsia"/>
        </w:rPr>
        <w:t>用户界面应具备高频采样数据的实时动态展示功能，宜采用图形化方式展示数据。</w:t>
      </w:r>
    </w:p>
    <w:p>
      <w:pPr>
        <w:ind w:firstLine="480"/>
      </w:pPr>
      <w:r>
        <w:rPr>
          <w:rFonts w:hint="eastAsia"/>
        </w:rPr>
        <w:t>3</w:t>
      </w:r>
      <w:r>
        <w:t xml:space="preserve"> </w:t>
      </w:r>
      <w:r>
        <w:rPr>
          <w:rFonts w:hint="eastAsia"/>
        </w:rPr>
        <w:t>用户界面应具备相关分析、对比分析、趋势分析等统计分析结果展示功能。</w:t>
      </w:r>
    </w:p>
    <w:p>
      <w:pPr>
        <w:ind w:firstLine="480"/>
      </w:pPr>
      <w:r>
        <w:rPr>
          <w:rFonts w:hint="eastAsia"/>
        </w:rPr>
        <w:t>4</w:t>
      </w:r>
      <w:r>
        <w:t xml:space="preserve"> </w:t>
      </w:r>
      <w:r>
        <w:rPr>
          <w:rFonts w:hint="eastAsia"/>
        </w:rPr>
        <w:t>用户界面应具备多样化预警提醒，提醒方式可采用消息推送、短信提示、声光报警等。</w:t>
      </w:r>
    </w:p>
    <w:p>
      <w:pPr>
        <w:ind w:firstLine="480"/>
      </w:pPr>
      <w:r>
        <w:rPr>
          <w:rFonts w:hint="eastAsia"/>
        </w:rPr>
        <w:t>5</w:t>
      </w:r>
      <w:r>
        <w:t xml:space="preserve"> </w:t>
      </w:r>
      <w:r>
        <w:rPr>
          <w:rFonts w:hint="eastAsia"/>
        </w:rPr>
        <w:t>用户界面应具备传感器设备状态自诊断可视化功能，能够显示设备运行状态信息。</w:t>
      </w:r>
    </w:p>
    <w:p>
      <w:pPr>
        <w:ind w:firstLine="480"/>
      </w:pPr>
      <w:r>
        <w:rPr>
          <w:rFonts w:hint="eastAsia"/>
        </w:rPr>
        <w:t>6</w:t>
      </w:r>
      <w:r>
        <w:t xml:space="preserve"> </w:t>
      </w:r>
      <w:r>
        <w:rPr>
          <w:rFonts w:hint="eastAsia"/>
        </w:rPr>
        <w:t>用户界面应具备移动端App应用，可实时查看监测数据、进行监测统计数据查询、监测预警消息管理等可视化功能。</w:t>
      </w:r>
    </w:p>
    <w:p>
      <w:pPr>
        <w:pStyle w:val="4"/>
      </w:pPr>
      <w:r>
        <w:rPr>
          <w:rFonts w:hint="eastAsia"/>
        </w:rPr>
        <w:t>数据采集及存储设计应</w:t>
      </w:r>
      <w:r>
        <w:t>符合下列</w:t>
      </w:r>
      <w:r>
        <w:rPr>
          <w:rFonts w:hint="eastAsia"/>
        </w:rPr>
        <w:t>规定：</w:t>
      </w:r>
    </w:p>
    <w:p>
      <w:pPr>
        <w:ind w:firstLine="480"/>
      </w:pPr>
      <w:r>
        <w:rPr>
          <w:rFonts w:hint="eastAsia"/>
        </w:rPr>
        <w:t>1</w:t>
      </w:r>
      <w:r>
        <w:t xml:space="preserve"> </w:t>
      </w:r>
      <w:r>
        <w:rPr>
          <w:rFonts w:hint="eastAsia"/>
        </w:rPr>
        <w:t>数据采集程序应按不同的监测内容、采样次序、采样频率，完成对传感器输出的采样与模数转换。</w:t>
      </w:r>
    </w:p>
    <w:p>
      <w:pPr>
        <w:ind w:firstLine="480"/>
      </w:pPr>
      <w:r>
        <w:rPr>
          <w:rFonts w:hint="eastAsia"/>
        </w:rPr>
        <w:t>2</w:t>
      </w:r>
      <w:r>
        <w:t xml:space="preserve"> </w:t>
      </w:r>
      <w:r>
        <w:rPr>
          <w:rFonts w:hint="eastAsia"/>
        </w:rPr>
        <w:t>对配置专用软件的传感器设备，系统应提供软件运行的平台，并编制相应的通信协议与接口。</w:t>
      </w:r>
    </w:p>
    <w:p>
      <w:pPr>
        <w:ind w:firstLine="480"/>
      </w:pPr>
      <w:r>
        <w:rPr>
          <w:rFonts w:hint="eastAsia"/>
        </w:rPr>
        <w:t>3</w:t>
      </w:r>
      <w:r>
        <w:t xml:space="preserve"> </w:t>
      </w:r>
      <w:r>
        <w:rPr>
          <w:rFonts w:hint="eastAsia"/>
        </w:rPr>
        <w:t>数据采集程序应对监测数据非正常状况的识别、剔除与事件发生进行记录。</w:t>
      </w:r>
    </w:p>
    <w:p>
      <w:pPr>
        <w:ind w:firstLine="480"/>
      </w:pPr>
      <w:r>
        <w:rPr>
          <w:rFonts w:hint="eastAsia"/>
        </w:rPr>
        <w:t>4</w:t>
      </w:r>
      <w:r>
        <w:t xml:space="preserve"> </w:t>
      </w:r>
      <w:r>
        <w:rPr>
          <w:rFonts w:hint="eastAsia"/>
        </w:rPr>
        <w:t>数据采集应对监测数据输出内容进行初步计算及整理。</w:t>
      </w:r>
    </w:p>
    <w:p>
      <w:pPr>
        <w:ind w:firstLine="480"/>
      </w:pPr>
      <w:r>
        <w:rPr>
          <w:rFonts w:hint="eastAsia"/>
        </w:rPr>
        <w:t>5</w:t>
      </w:r>
      <w:r>
        <w:t xml:space="preserve"> </w:t>
      </w:r>
      <w:r>
        <w:rPr>
          <w:rFonts w:hint="eastAsia"/>
        </w:rPr>
        <w:t>桥梁健康监测系统数据存储宜分为桥梁现场采集站存储、监控中心计算机机房存储和云存储，宜在线存储。</w:t>
      </w:r>
    </w:p>
    <w:p>
      <w:pPr>
        <w:ind w:firstLine="480"/>
      </w:pPr>
      <w:r>
        <w:rPr>
          <w:rFonts w:hint="eastAsia"/>
        </w:rPr>
        <w:t>6</w:t>
      </w:r>
      <w:r>
        <w:t xml:space="preserve"> </w:t>
      </w:r>
      <w:r>
        <w:rPr>
          <w:rFonts w:hint="eastAsia"/>
        </w:rPr>
        <w:t>桥梁现场数据采集站内宜安装采集计算机，采用循环更新存储方式，现场本地数据存储空间结构化原始数据应大于等于90天，非结构化视频图像数据应大于等于30天。</w:t>
      </w:r>
    </w:p>
    <w:p>
      <w:pPr>
        <w:ind w:firstLine="480"/>
      </w:pPr>
      <w:r>
        <w:rPr>
          <w:rFonts w:hint="eastAsia"/>
        </w:rPr>
        <w:t>7</w:t>
      </w:r>
      <w:r>
        <w:t xml:space="preserve"> </w:t>
      </w:r>
      <w:r>
        <w:rPr>
          <w:rFonts w:hint="eastAsia"/>
        </w:rPr>
        <w:t>系统应采用数据库技术存储监测数据，应提供存储调度、存储监控及存储管理可视化功能。数据库宜采用模块化架构，可按功能对桥梁结构信息、监测系统信息和监测数据进行分层、分类存储和管理。</w:t>
      </w:r>
    </w:p>
    <w:p>
      <w:pPr>
        <w:ind w:firstLine="480"/>
      </w:pPr>
      <w:r>
        <w:rPr>
          <w:rFonts w:hint="eastAsia"/>
        </w:rPr>
        <w:t>8</w:t>
      </w:r>
      <w:r>
        <w:t xml:space="preserve"> </w:t>
      </w:r>
      <w:r>
        <w:rPr>
          <w:rFonts w:hint="eastAsia"/>
        </w:rPr>
        <w:t>监测系统数据库应存储和管理传感器、数据采集和传输设备、数据处理和管理设备及软件等信息，包括设备厂商、安装位置、技术参数、品牌和规格等。</w:t>
      </w:r>
    </w:p>
    <w:p>
      <w:pPr>
        <w:ind w:firstLine="480"/>
      </w:pPr>
      <w:r>
        <w:rPr>
          <w:rFonts w:hint="eastAsia"/>
        </w:rPr>
        <w:t>9 监测系统数据库应存储和管理桥梁结构有限元模型，有限元模型宜使用标准文件格式进行保存。</w:t>
      </w:r>
    </w:p>
    <w:p>
      <w:pPr>
        <w:ind w:firstLine="480"/>
      </w:pPr>
      <w:r>
        <w:rPr>
          <w:rFonts w:hint="eastAsia"/>
        </w:rPr>
        <w:t>10 监测系统数据库应存储和管理监测系统所有监测内容的原始数据。</w:t>
      </w:r>
    </w:p>
    <w:p>
      <w:pPr>
        <w:ind w:firstLine="480"/>
      </w:pPr>
      <w:r>
        <w:rPr>
          <w:rFonts w:hint="eastAsia"/>
        </w:rPr>
        <w:t>11 监测系统数据库应存储和管理采用统计方法、相关性分析、趋势性分析、比对性分析、机器学习等分析的数据。</w:t>
      </w:r>
    </w:p>
    <w:p>
      <w:pPr>
        <w:ind w:firstLine="480"/>
      </w:pPr>
      <w:r>
        <w:rPr>
          <w:rFonts w:hint="eastAsia"/>
        </w:rPr>
        <w:t>12 监测系统数据库应存储和管理超限报警、评估、分析结果等数据。</w:t>
      </w:r>
    </w:p>
    <w:p>
      <w:pPr>
        <w:ind w:firstLine="480"/>
      </w:pPr>
      <w:r>
        <w:rPr>
          <w:rFonts w:hint="eastAsia"/>
        </w:rPr>
        <w:t>13 中心计算机机房实时监测数据存储时间宜大于5年。 经处理后的特征数据、超限报警、评估结果等结构化数据存储时间宜大于20年，中心计算机机房非结构化视频数据存储宜大于90天。</w:t>
      </w:r>
    </w:p>
    <w:p>
      <w:pPr>
        <w:ind w:firstLine="480"/>
      </w:pPr>
      <w:r>
        <w:rPr>
          <w:rFonts w:hint="eastAsia"/>
        </w:rPr>
        <w:t>14 监测系统宜采用容灾备份机制，宜具备各类数据压缩存储和异地备份功能。</w:t>
      </w:r>
    </w:p>
    <w:p>
      <w:pPr>
        <w:pStyle w:val="4"/>
      </w:pPr>
      <w:r>
        <w:t>报警功能应符合下列规定</w:t>
      </w:r>
      <w:r>
        <w:rPr>
          <w:rFonts w:hint="eastAsia"/>
        </w:rPr>
        <w:t>：</w:t>
      </w:r>
    </w:p>
    <w:p>
      <w:pPr>
        <w:ind w:firstLine="480"/>
      </w:pPr>
      <w:r>
        <w:t>1 具有实时和自动报警功能，</w:t>
      </w:r>
      <w:r>
        <w:rPr>
          <w:rFonts w:hint="eastAsia"/>
        </w:rPr>
        <w:t>应</w:t>
      </w:r>
      <w:r>
        <w:t>在监测系统软件界面显示报警信息</w:t>
      </w:r>
      <w:r>
        <w:rPr>
          <w:rFonts w:hint="eastAsia"/>
        </w:rPr>
        <w:t>。</w:t>
      </w:r>
    </w:p>
    <w:p>
      <w:pPr>
        <w:ind w:firstLine="480"/>
      </w:pPr>
      <w:r>
        <w:t>2 报警内容</w:t>
      </w:r>
      <w:r>
        <w:rPr>
          <w:rFonts w:hint="eastAsia"/>
        </w:rPr>
        <w:t>需</w:t>
      </w:r>
      <w:r>
        <w:t>包括报警级别、报警传感器编号和位置、报警监测值和报警阈值</w:t>
      </w:r>
      <w:r>
        <w:rPr>
          <w:rFonts w:hint="eastAsia"/>
        </w:rPr>
        <w:t>。</w:t>
      </w:r>
    </w:p>
    <w:p>
      <w:pPr>
        <w:ind w:firstLine="480"/>
      </w:pPr>
      <w:r>
        <w:t>3 能发布、调整和解除报警</w:t>
      </w:r>
      <w:r>
        <w:rPr>
          <w:rFonts w:hint="eastAsia"/>
        </w:rPr>
        <w:t>。</w:t>
      </w:r>
    </w:p>
    <w:p>
      <w:pPr>
        <w:ind w:firstLine="480"/>
      </w:pPr>
      <w:r>
        <w:t>4 报警阈值应能依据桥梁和系统运行状况动态调整。</w:t>
      </w:r>
    </w:p>
    <w:p>
      <w:pPr>
        <w:pStyle w:val="4"/>
      </w:pPr>
      <w:r>
        <w:rPr>
          <w:rFonts w:hint="eastAsia"/>
        </w:rPr>
        <w:t>系统性能设计应</w:t>
      </w:r>
      <w:r>
        <w:t>符合下列</w:t>
      </w:r>
      <w:r>
        <w:rPr>
          <w:rFonts w:hint="eastAsia"/>
        </w:rPr>
        <w:t>规定：</w:t>
      </w:r>
    </w:p>
    <w:p>
      <w:pPr>
        <w:ind w:firstLine="480"/>
      </w:pPr>
      <w:r>
        <w:rPr>
          <w:rFonts w:hint="eastAsia"/>
        </w:rPr>
        <w:t>1 系统用户登录时间应小于等于3秒。</w:t>
      </w:r>
    </w:p>
    <w:p>
      <w:pPr>
        <w:ind w:firstLine="480"/>
      </w:pPr>
      <w:r>
        <w:rPr>
          <w:rFonts w:hint="eastAsia"/>
        </w:rPr>
        <w:t>2 系统界面初始化操作应小于等于3秒。</w:t>
      </w:r>
    </w:p>
    <w:p>
      <w:pPr>
        <w:ind w:firstLine="480"/>
      </w:pPr>
      <w:r>
        <w:rPr>
          <w:rFonts w:hint="eastAsia"/>
        </w:rPr>
        <w:t>3 系统内在线事务处理的响应时间应小于等于3秒，系统内查询的响应时间应小于等于5秒。</w:t>
      </w:r>
    </w:p>
    <w:p>
      <w:pPr>
        <w:ind w:firstLine="480"/>
      </w:pPr>
      <w:r>
        <w:rPr>
          <w:rFonts w:hint="eastAsia"/>
        </w:rPr>
        <w:t>4 系统内点击页面的任意功能到接收返回的结果的平均响应时间应小于等于3秒。</w:t>
      </w:r>
    </w:p>
    <w:p>
      <w:pPr>
        <w:ind w:firstLine="480"/>
      </w:pPr>
      <w:r>
        <w:rPr>
          <w:rFonts w:hint="eastAsia"/>
        </w:rPr>
        <w:t>5 系统可支持同时在线操作的用户终端数不得少于200个。</w:t>
      </w:r>
    </w:p>
    <w:p>
      <w:pPr>
        <w:ind w:firstLine="480"/>
      </w:pPr>
      <w:r>
        <w:rPr>
          <w:rFonts w:hint="eastAsia"/>
        </w:rPr>
        <w:t>6 系统并发数设计应该支持30%的冗余，保证系统在业务高峰期间稳定运行，系统在业务处理高峰时，各主机设备的内存利用率应不大于70%，CPU平均空闲率不低于30%。</w:t>
      </w:r>
    </w:p>
    <w:p>
      <w:pPr>
        <w:ind w:firstLine="480"/>
      </w:pPr>
      <w:r>
        <w:rPr>
          <w:rFonts w:hint="eastAsia"/>
        </w:rPr>
        <w:t>7 系统应支持连续7×24h不间断地工作。</w:t>
      </w:r>
    </w:p>
    <w:p>
      <w:pPr>
        <w:pStyle w:val="4"/>
      </w:pPr>
      <w:r>
        <w:rPr>
          <w:rFonts w:hint="eastAsia"/>
        </w:rPr>
        <w:t>系统安全性设计应</w:t>
      </w:r>
      <w:r>
        <w:t>符合下列</w:t>
      </w:r>
      <w:r>
        <w:rPr>
          <w:rFonts w:hint="eastAsia"/>
        </w:rPr>
        <w:t>规定：</w:t>
      </w:r>
    </w:p>
    <w:p>
      <w:pPr>
        <w:ind w:firstLine="480"/>
      </w:pPr>
      <w:r>
        <w:rPr>
          <w:rFonts w:hint="eastAsia"/>
        </w:rPr>
        <w:t>1 系统应建立网络安全应急工作机制，对系统信息安全实行分级管理。</w:t>
      </w:r>
    </w:p>
    <w:p>
      <w:pPr>
        <w:ind w:firstLine="480"/>
      </w:pPr>
      <w:r>
        <w:rPr>
          <w:rFonts w:hint="eastAsia"/>
        </w:rPr>
        <w:t>2 系统宜明确系统安全保护等级要求，可从物理层、网络层、应用层、系统层等方面构建多层次网络安全防护体系。</w:t>
      </w:r>
    </w:p>
    <w:p>
      <w:pPr>
        <w:ind w:firstLine="480"/>
      </w:pPr>
      <w:r>
        <w:rPr>
          <w:rFonts w:hint="eastAsia"/>
        </w:rPr>
        <w:t>3 系统应采用防火墙技术实现核心应用层与互联网之间的安全阻断与隔离，各应用服务器采取安全防护措施以阻断木马程序、病毒的传播。</w:t>
      </w:r>
    </w:p>
    <w:p>
      <w:pPr>
        <w:ind w:firstLine="480"/>
      </w:pPr>
      <w:r>
        <w:rPr>
          <w:rFonts w:hint="eastAsia"/>
        </w:rPr>
        <w:t>4 各应用服务器、工作站应安装防病毒软件，具备日志系统、安全审计等功能。</w:t>
      </w:r>
    </w:p>
    <w:p>
      <w:pPr>
        <w:ind w:firstLine="480"/>
      </w:pPr>
      <w:r>
        <w:rPr>
          <w:rFonts w:hint="eastAsia"/>
        </w:rPr>
        <w:t>5 系统数据库应采用用户标识和鉴定、数据存取控制、数据库审计、异地备份等。</w:t>
      </w:r>
    </w:p>
    <w:p>
      <w:pPr>
        <w:ind w:firstLine="480"/>
      </w:pPr>
      <w:r>
        <w:rPr>
          <w:rFonts w:hint="eastAsia"/>
        </w:rPr>
        <w:t>6</w:t>
      </w:r>
      <w:r>
        <w:t xml:space="preserve"> </w:t>
      </w:r>
      <w:r>
        <w:rPr>
          <w:rFonts w:hint="eastAsia"/>
        </w:rPr>
        <w:t>网络通讯过程之中如被第三者截取数据，根据现在的技术手段无法解密。</w:t>
      </w:r>
    </w:p>
    <w:p>
      <w:pPr>
        <w:ind w:firstLine="480"/>
      </w:pPr>
      <w:r>
        <w:rPr>
          <w:rFonts w:hint="eastAsia"/>
        </w:rPr>
        <w:t>7 系统安全管理应具有高可靠性，并具有可审计可监控性。</w:t>
      </w:r>
    </w:p>
    <w:p>
      <w:pPr>
        <w:ind w:firstLine="480"/>
      </w:pPr>
      <w:r>
        <w:rPr>
          <w:rFonts w:hint="eastAsia"/>
        </w:rPr>
        <w:t>8 系统应具备数据的备份与恢复功能。</w:t>
      </w:r>
    </w:p>
    <w:p>
      <w:pPr>
        <w:ind w:firstLine="480"/>
      </w:pPr>
      <w:r>
        <w:rPr>
          <w:rFonts w:hint="eastAsia"/>
        </w:rPr>
        <w:t>9 系统应具备安全加密和分级授权功能。</w:t>
      </w:r>
    </w:p>
    <w:p>
      <w:pPr>
        <w:ind w:firstLine="480"/>
      </w:pPr>
      <w:r>
        <w:rPr>
          <w:rFonts w:hint="eastAsia"/>
        </w:rPr>
        <w:t>10系统应具备日志记录功能，能够对用户登录、页面操作、配置修改、恶意攻击、系统故障等信息进行自动记录保存，能够事后统计和追查用户的访问操作。</w:t>
      </w:r>
    </w:p>
    <w:p>
      <w:pPr>
        <w:pStyle w:val="3"/>
        <w:jc w:val="center"/>
      </w:pPr>
      <w:bookmarkStart w:id="30" w:name="_Toc136506062"/>
      <w:r>
        <w:t>专线监测</w:t>
      </w:r>
      <w:r>
        <w:rPr>
          <w:rFonts w:hint="eastAsia"/>
        </w:rPr>
        <w:t>设计</w:t>
      </w:r>
      <w:bookmarkEnd w:id="30"/>
    </w:p>
    <w:p>
      <w:pPr>
        <w:pStyle w:val="4"/>
      </w:pPr>
      <w:r>
        <w:t>专线监测系统</w:t>
      </w:r>
      <w:r>
        <w:rPr>
          <w:rFonts w:hint="eastAsia"/>
        </w:rPr>
        <w:t>适用性应按</w:t>
      </w:r>
      <w:r>
        <w:t>以下情况</w:t>
      </w:r>
      <w:r>
        <w:rPr>
          <w:rFonts w:hint="eastAsia"/>
        </w:rPr>
        <w:t>确定：</w:t>
      </w:r>
    </w:p>
    <w:p>
      <w:pPr>
        <w:ind w:firstLine="480"/>
      </w:pPr>
      <w:r>
        <w:rPr>
          <w:rFonts w:hint="eastAsia"/>
        </w:rPr>
        <w:t>1</w:t>
      </w:r>
      <w:r>
        <w:t xml:space="preserve"> 具有重要保护意义的桥梁；</w:t>
      </w:r>
    </w:p>
    <w:p>
      <w:pPr>
        <w:ind w:firstLine="480"/>
      </w:pPr>
      <w:r>
        <w:rPr>
          <w:rFonts w:hint="eastAsia"/>
        </w:rPr>
        <w:t>2</w:t>
      </w:r>
      <w:r>
        <w:t xml:space="preserve"> 监测系统接网成本较高，从而采用短距局域网专线传输监测的桥梁；</w:t>
      </w:r>
    </w:p>
    <w:p>
      <w:pPr>
        <w:ind w:firstLine="480"/>
      </w:pPr>
      <w:r>
        <w:rPr>
          <w:rFonts w:hint="eastAsia"/>
        </w:rPr>
        <w:t>3</w:t>
      </w:r>
      <w:r>
        <w:t xml:space="preserve"> 其它具有特殊要求的桥梁</w:t>
      </w:r>
      <w:r>
        <w:rPr>
          <w:rFonts w:hint="eastAsia"/>
        </w:rPr>
        <w:t>。</w:t>
      </w:r>
    </w:p>
    <w:p>
      <w:pPr>
        <w:pStyle w:val="4"/>
        <w:keepNext w:val="0"/>
        <w:keepLines w:val="0"/>
      </w:pPr>
      <w:r>
        <w:t>专线监测系统设计除满足常规监测系统要求外，尚应满足专线监测系统设计要求。</w:t>
      </w:r>
    </w:p>
    <w:p>
      <w:pPr>
        <w:pStyle w:val="4"/>
        <w:keepNext w:val="0"/>
        <w:keepLines w:val="0"/>
      </w:pPr>
      <w:r>
        <w:t>专线</w:t>
      </w:r>
      <w:r>
        <w:rPr>
          <w:rFonts w:hint="eastAsia"/>
        </w:rPr>
        <w:t>监测系统应满足信息化监测系统功能要求，宜达到数字化监测系统功能要求，当有条件做深入研究的项目，可采用智能化监测系统的概念。</w:t>
      </w:r>
    </w:p>
    <w:p>
      <w:pPr>
        <w:pStyle w:val="4"/>
        <w:keepNext w:val="0"/>
        <w:keepLines w:val="0"/>
      </w:pPr>
      <w:r>
        <w:rPr>
          <w:rFonts w:hint="eastAsia"/>
        </w:rPr>
        <w:t>专线监测系统应按组成的软硬件功能情况分模块设计，且应包括传感器模块、数据采集和传输模块、数据管理模块，宜包括数据分析应用模块，并通过系统集成技术将各模块集成为统一协调的整体。不同模块应满足以下规定：</w:t>
      </w:r>
    </w:p>
    <w:p>
      <w:pPr>
        <w:ind w:firstLine="480"/>
      </w:pPr>
      <w:r>
        <w:rPr>
          <w:rFonts w:hint="eastAsia"/>
        </w:rPr>
        <w:t xml:space="preserve">1 </w:t>
      </w:r>
      <w:r>
        <w:t>数据采集和传输模块宜与传感器模块共同设置在监测桥梁现场，其供配电、通信需求由系统设计单位提出，由桥梁机电工程设计单位统一设计预留，工作界面划分应设在系统数据采集机柜内；</w:t>
      </w:r>
    </w:p>
    <w:p>
      <w:pPr>
        <w:ind w:firstLine="480"/>
      </w:pPr>
      <w:r>
        <w:t>2</w:t>
      </w:r>
      <w:r>
        <w:rPr>
          <w:rFonts w:hint="eastAsia"/>
        </w:rPr>
        <w:t xml:space="preserve"> 数据管理模块和数据分析应用模块当使用政务云或私有云等具有较高安全性的既有数据存储及计算设施时，建设时该模块仅需配套数据调用的PC端，否则应建立专用服务器，服务器具体配置需求由系统设计单位提出；</w:t>
      </w:r>
    </w:p>
    <w:p>
      <w:pPr>
        <w:ind w:firstLine="480"/>
      </w:pPr>
      <w:r>
        <w:t>3</w:t>
      </w:r>
      <w:r>
        <w:rPr>
          <w:rFonts w:hint="eastAsia"/>
        </w:rPr>
        <w:t xml:space="preserve"> 数据管理模块和数据分析应用模块应共同集成在同一软件中，设计及开发时应充分考虑其可扩展性；所依附的硬件设施根据项目具体情况，可放置于桥梁位置附近或相关单位认可的其他位置。</w:t>
      </w:r>
    </w:p>
    <w:p>
      <w:pPr>
        <w:pStyle w:val="4"/>
        <w:keepNext w:val="0"/>
        <w:keepLines w:val="0"/>
      </w:pPr>
      <w:r>
        <w:t>专线监测系统应设置专门的监控中心用做系统软硬件设施存放、提供工作平台和监测成果展示等功能；中心应配备稳定的供电设施，设施应具有断电工作保护和断电信息告知措施，宜安排专人值守。</w:t>
      </w:r>
    </w:p>
    <w:p>
      <w:pPr>
        <w:pStyle w:val="4"/>
        <w:keepNext w:val="0"/>
        <w:keepLines w:val="0"/>
      </w:pPr>
      <w:r>
        <w:rPr>
          <w:rFonts w:hint="eastAsia"/>
        </w:rPr>
        <w:t>专线监测</w:t>
      </w:r>
      <w:r>
        <w:t>宜采用附着式传感器，不</w:t>
      </w:r>
      <w:r>
        <w:rPr>
          <w:rFonts w:hint="eastAsia"/>
        </w:rPr>
        <w:t>宜</w:t>
      </w:r>
      <w:r>
        <w:t>采用埋入式传感器。</w:t>
      </w:r>
    </w:p>
    <w:p>
      <w:pPr>
        <w:pStyle w:val="4"/>
        <w:keepNext w:val="0"/>
        <w:keepLines w:val="0"/>
      </w:pPr>
      <w:r>
        <w:rPr>
          <w:rFonts w:hint="eastAsia"/>
        </w:rPr>
        <w:t>专线监测系统数据采集和传输应采用有线传输方式，确需采用无线传输方式时应有可靠的手段保证数据的安全性，且采集仪应具有原始电子数据保存功能，数据管理模块应具有数据无线传输数据丢失检测功能和数据丢失恢复算法功能，必要时可人工至采集仪进行拷贝恢复。</w:t>
      </w:r>
    </w:p>
    <w:p>
      <w:pPr>
        <w:pStyle w:val="4"/>
        <w:keepNext w:val="0"/>
        <w:keepLines w:val="0"/>
      </w:pPr>
      <w:r>
        <w:t>应建立监测桥梁的结构有限元模型，宜优先采用空间实体有限元模型；系统数据管理模块应预留足够的结构模型存储空间，数据分析应用模块应有历史有限元模型调用、模型修正和输出与有限元软件兼容的修正模型功能。</w:t>
      </w:r>
    </w:p>
    <w:p>
      <w:pPr>
        <w:pStyle w:val="4"/>
        <w:keepNext w:val="0"/>
        <w:keepLines w:val="0"/>
      </w:pPr>
      <w:r>
        <w:rPr>
          <w:rFonts w:hint="eastAsia"/>
        </w:rPr>
        <w:t>系统</w:t>
      </w:r>
      <w:r>
        <w:t>应具有数据定期转存机制。</w:t>
      </w:r>
    </w:p>
    <w:p>
      <w:pPr>
        <w:pStyle w:val="3"/>
        <w:keepNext w:val="0"/>
        <w:keepLines w:val="0"/>
        <w:widowControl w:val="0"/>
        <w:jc w:val="center"/>
      </w:pPr>
      <w:bookmarkStart w:id="31" w:name="_Toc136506063"/>
      <w:r>
        <w:t>施工期监测及其他数据源的纳入方案</w:t>
      </w:r>
      <w:bookmarkEnd w:id="31"/>
    </w:p>
    <w:p>
      <w:pPr>
        <w:pStyle w:val="4"/>
        <w:keepNext w:val="0"/>
        <w:keepLines w:val="0"/>
      </w:pPr>
      <w:r>
        <w:rPr>
          <w:rFonts w:hint="eastAsia"/>
        </w:rPr>
        <w:t>施工监测与运营健康监测系统应统一设计，做到</w:t>
      </w:r>
      <w:r>
        <w:t>同步施工和连续监测。</w:t>
      </w:r>
      <w:r>
        <w:rPr>
          <w:rFonts w:hint="eastAsia"/>
        </w:rPr>
        <w:t>健康</w:t>
      </w:r>
      <w:r>
        <w:t>监测系统设计尚应满足常规监测系统或专线监测系统的相关要求。</w:t>
      </w:r>
    </w:p>
    <w:p>
      <w:pPr>
        <w:pStyle w:val="4"/>
        <w:keepNext w:val="0"/>
        <w:keepLines w:val="0"/>
      </w:pPr>
      <w:r>
        <w:t>应将施工监测数据纳入到健康监测系统的数据管理中，</w:t>
      </w:r>
      <w:r>
        <w:rPr>
          <w:rFonts w:hint="eastAsia"/>
        </w:rPr>
        <w:t>对已投入运营桥梁加装健康监测系统的情况，系统设计时应在数据管理模块中增加施工过程及成桥状态相关</w:t>
      </w:r>
      <w:r>
        <w:t>数据和运营后经常检查、定期检查、特殊检查及荷载试验等数据的录入功能。</w:t>
      </w:r>
    </w:p>
    <w:p>
      <w:pPr>
        <w:pStyle w:val="4"/>
        <w:keepNext w:val="0"/>
        <w:keepLines w:val="0"/>
      </w:pPr>
      <w:r>
        <w:rPr>
          <w:rFonts w:hint="eastAsia"/>
        </w:rPr>
        <w:t>施工阶段的监测系统的传感器模块设计应重点关注传感器增加对已装传感器数据采集连续性的影响，宜</w:t>
      </w:r>
      <w:r>
        <w:t>采用扩展性较高且能保证数据连续的传感器。</w:t>
      </w:r>
    </w:p>
    <w:p>
      <w:pPr>
        <w:pStyle w:val="4"/>
        <w:keepNext w:val="0"/>
        <w:keepLines w:val="0"/>
      </w:pPr>
      <w:r>
        <w:rPr>
          <w:rFonts w:hint="eastAsia"/>
        </w:rPr>
        <w:t>施工阶段的监测系统设计应充分考虑对传感器、数据线路、采集仪和供电路线等系统组件的保护，并结合桥梁竣工后的总体供电和线路排布情况拟定监测系统线路的布线方案。</w:t>
      </w:r>
    </w:p>
    <w:p>
      <w:pPr>
        <w:pStyle w:val="4"/>
        <w:keepNext w:val="0"/>
        <w:keepLines w:val="0"/>
      </w:pPr>
      <w:r>
        <w:rPr>
          <w:rFonts w:hint="eastAsia"/>
        </w:rPr>
        <w:t>施工监控数据可采用无线传输方式传送至数据管理及数据分析应用模块，但应在数据采集模块中设置原始电子数据保存功能。</w:t>
      </w:r>
    </w:p>
    <w:p>
      <w:pPr>
        <w:pStyle w:val="3"/>
        <w:keepNext w:val="0"/>
        <w:keepLines w:val="0"/>
        <w:widowControl w:val="0"/>
        <w:jc w:val="center"/>
      </w:pPr>
      <w:bookmarkStart w:id="32" w:name="_Toc136506064"/>
      <w:r>
        <w:rPr>
          <w:rFonts w:hint="eastAsia"/>
        </w:rPr>
        <w:t>系统的物联网接入方案</w:t>
      </w:r>
      <w:bookmarkEnd w:id="32"/>
    </w:p>
    <w:p>
      <w:pPr>
        <w:pStyle w:val="4"/>
        <w:keepNext w:val="0"/>
        <w:keepLines w:val="0"/>
      </w:pPr>
      <w:r>
        <w:rPr>
          <w:rFonts w:hint="eastAsia"/>
        </w:rPr>
        <w:t>监测系统设计时宜与当地城市信息系统设计融合，统一基础信息，明确数据交互和接口规则等内容。</w:t>
      </w:r>
    </w:p>
    <w:p>
      <w:pPr>
        <w:pStyle w:val="4"/>
        <w:keepNext w:val="0"/>
        <w:keepLines w:val="0"/>
      </w:pPr>
      <w:r>
        <w:rPr>
          <w:rFonts w:hint="eastAsia"/>
        </w:rPr>
        <w:t>物联网接入应在既有监测系统的基础上进行，不宜出现针对物联网接入需求更改既有监测系统功能的情况。</w:t>
      </w:r>
    </w:p>
    <w:p>
      <w:pPr>
        <w:pStyle w:val="4"/>
        <w:keepNext w:val="0"/>
        <w:keepLines w:val="0"/>
      </w:pPr>
      <w:r>
        <w:rPr>
          <w:rFonts w:hint="eastAsia"/>
        </w:rPr>
        <w:t>物联网接入应充分保证专业信息的安全，应注重不同类型桥梁结构信息的共性化特征，适度增加结构的个性化、专业化和私密化特征。</w:t>
      </w:r>
    </w:p>
    <w:p>
      <w:pPr>
        <w:pStyle w:val="4"/>
        <w:keepNext w:val="0"/>
        <w:keepLines w:val="0"/>
      </w:pPr>
      <w:r>
        <w:rPr>
          <w:rFonts w:hint="eastAsia"/>
        </w:rPr>
        <w:t>监测系统物联网宜采用区域结构群网络分散建立数据库，再通过城际网络连接各分散数据库实现数据共享的方案。</w:t>
      </w:r>
    </w:p>
    <w:p>
      <w:pPr>
        <w:pStyle w:val="4"/>
        <w:keepNext w:val="0"/>
        <w:keepLines w:val="0"/>
        <w:sectPr>
          <w:pgSz w:w="11906" w:h="16838"/>
          <w:pgMar w:top="1440" w:right="1800" w:bottom="1440" w:left="1800" w:header="851" w:footer="992" w:gutter="0"/>
          <w:cols w:space="425" w:num="1"/>
          <w:docGrid w:type="lines" w:linePitch="312" w:charSpace="0"/>
        </w:sectPr>
      </w:pPr>
      <w:r>
        <w:rPr>
          <w:rFonts w:hint="eastAsia"/>
        </w:rPr>
        <w:t>接入物联网的桥梁健康监测系统应开发物联信息应用功能模块，实现</w:t>
      </w:r>
      <w:r>
        <w:t>共性特征信息提取结果反馈至个体结构并得到有效利用。</w:t>
      </w:r>
    </w:p>
    <w:p>
      <w:pPr>
        <w:pStyle w:val="2"/>
        <w:spacing w:after="312"/>
      </w:pPr>
      <w:bookmarkStart w:id="33" w:name="_Toc136506065"/>
      <w:r>
        <w:rPr>
          <w:rFonts w:hint="eastAsia"/>
        </w:rPr>
        <w:t>系统实施</w:t>
      </w:r>
      <w:bookmarkEnd w:id="33"/>
    </w:p>
    <w:p>
      <w:pPr>
        <w:pStyle w:val="3"/>
        <w:jc w:val="center"/>
      </w:pPr>
      <w:bookmarkStart w:id="34" w:name="_Toc136506066"/>
      <w:r>
        <w:rPr>
          <w:rFonts w:hint="eastAsia"/>
        </w:rPr>
        <w:t>一般规定</w:t>
      </w:r>
      <w:bookmarkEnd w:id="34"/>
    </w:p>
    <w:p>
      <w:pPr>
        <w:pStyle w:val="4"/>
      </w:pPr>
      <w:r>
        <w:rPr>
          <w:rFonts w:hint="eastAsia"/>
        </w:rPr>
        <w:t>承担城市桥梁结构安全监测系统实施的单位应建立项目组织机构、安全管理制度、施工质量控制和检验制度。</w:t>
      </w:r>
    </w:p>
    <w:p>
      <w:pPr>
        <w:pStyle w:val="4"/>
      </w:pPr>
      <w:r>
        <w:rPr>
          <w:rFonts w:hint="eastAsia"/>
        </w:rPr>
        <w:t>城市桥梁结构安全监测系统实施前，应按设计要求深化施工图，编制施工组织设计、专项施工方案，通过审查、技术交底后方可进行现场施工。</w:t>
      </w:r>
    </w:p>
    <w:p>
      <w:pPr>
        <w:pStyle w:val="4"/>
      </w:pPr>
      <w:r>
        <w:rPr>
          <w:rFonts w:hint="eastAsia"/>
        </w:rPr>
        <w:t>城市桥梁结构安全监测系统宜按单位工程、分部工程、分项工程进行划分。</w:t>
      </w:r>
    </w:p>
    <w:p>
      <w:pPr>
        <w:pStyle w:val="4"/>
      </w:pPr>
      <w:r>
        <w:rPr>
          <w:rFonts w:hint="eastAsia"/>
        </w:rPr>
        <w:t>监测设备的基础、法兰、地脚、支架等及其防腐处理均应符合相关规范和设计要求，应连接牢固、可靠，并不得影响城市桥梁的结构安全和使用功能。</w:t>
      </w:r>
    </w:p>
    <w:p>
      <w:pPr>
        <w:pStyle w:val="4"/>
      </w:pPr>
      <w:r>
        <w:rPr>
          <w:rFonts w:hint="eastAsia"/>
        </w:rPr>
        <w:t>硬件和原材料在实验室及施工现场应按使用条件分类保管。</w:t>
      </w:r>
    </w:p>
    <w:p>
      <w:pPr>
        <w:pStyle w:val="4"/>
      </w:pPr>
      <w:r>
        <w:rPr>
          <w:rFonts w:hint="eastAsia"/>
        </w:rPr>
        <w:t>所采用的仪器设备、原材料、半成品和制成品，均应符合有关产品标准、规范或合同的要求，并应具有符合国家认可标准要求的质量检查机构出具的检验合格证和出厂合格证。</w:t>
      </w:r>
    </w:p>
    <w:p>
      <w:pPr>
        <w:pStyle w:val="4"/>
      </w:pPr>
      <w:r>
        <w:rPr>
          <w:rFonts w:hint="eastAsia"/>
        </w:rPr>
        <w:t>分项工程检查频率：承包单位应为100%；验收抽查</w:t>
      </w:r>
      <w:r>
        <w:rPr>
          <w:rFonts w:hint="eastAsia"/>
          <w:lang w:val="en-US" w:eastAsia="zh-CN"/>
        </w:rPr>
        <w:t>不</w:t>
      </w:r>
      <w:r>
        <w:rPr>
          <w:rFonts w:hint="eastAsia"/>
        </w:rPr>
        <w:t>应低于30%，当项目测点数少于3 个时，应全部检查。</w:t>
      </w:r>
    </w:p>
    <w:p>
      <w:pPr>
        <w:pStyle w:val="4"/>
        <w:rPr>
          <w:rFonts w:hint="eastAsia"/>
        </w:rPr>
      </w:pPr>
      <w:r>
        <w:rPr>
          <w:rFonts w:hint="eastAsia"/>
        </w:rPr>
        <w:t>分项工程各项实测项目的权值：关键项目应为2，非关键项目应为1。</w:t>
      </w:r>
    </w:p>
    <w:p>
      <w:pPr>
        <w:pStyle w:val="4"/>
        <w:rPr>
          <w:rFonts w:hint="eastAsia"/>
        </w:rPr>
      </w:pPr>
      <w:r>
        <w:rPr>
          <w:rFonts w:hint="eastAsia"/>
        </w:rPr>
        <w:t>布设硬件的截面应全桥统一编号，并宜采用带荧光的标示条进行标识。标示条可采用条形码、二维码或射频电子标签等辅助手段。</w:t>
      </w:r>
    </w:p>
    <w:p>
      <w:pPr>
        <w:pStyle w:val="4"/>
      </w:pPr>
      <w:r>
        <w:rPr>
          <w:rFonts w:hint="eastAsia"/>
        </w:rPr>
        <w:t>针对上跨铁路的桥梁，应避免在上跨铁路部分的梁底布设传感器，</w:t>
      </w:r>
      <w:r>
        <w:rPr>
          <w:rFonts w:hint="eastAsia"/>
          <w:lang w:eastAsia="zh-CN"/>
        </w:rPr>
        <w:t>应</w:t>
      </w:r>
      <w:r>
        <w:rPr>
          <w:rFonts w:hint="eastAsia"/>
        </w:rPr>
        <w:t>保证桥面以上各类传感器及其他设备安装牢固，</w:t>
      </w:r>
      <w:r>
        <w:rPr>
          <w:rFonts w:hint="eastAsia"/>
          <w:lang w:val="en-US" w:eastAsia="zh-CN"/>
        </w:rPr>
        <w:t>应</w:t>
      </w:r>
      <w:r>
        <w:rPr>
          <w:rFonts w:hint="eastAsia"/>
        </w:rPr>
        <w:t>防止设备脱落对桥下铁路运营产生影响。</w:t>
      </w:r>
    </w:p>
    <w:p>
      <w:pPr>
        <w:pStyle w:val="4"/>
        <w:keepNext w:val="0"/>
        <w:keepLines w:val="0"/>
        <w:snapToGrid w:val="0"/>
      </w:pPr>
      <w:r>
        <w:rPr>
          <w:rFonts w:hint="eastAsia"/>
        </w:rPr>
        <w:t>在监控中心应能实现监测系统软件参数的配置和远程管理。</w:t>
      </w:r>
    </w:p>
    <w:p>
      <w:pPr>
        <w:pStyle w:val="4"/>
        <w:keepNext w:val="0"/>
        <w:keepLines w:val="0"/>
        <w:snapToGrid w:val="0"/>
      </w:pPr>
      <w:r>
        <w:rPr>
          <w:rFonts w:hint="eastAsia"/>
        </w:rPr>
        <w:t>软件系统应具备自动恢复功能，在无人值守情况下可从故障中恢复正常工作状态。</w:t>
      </w:r>
    </w:p>
    <w:p>
      <w:pPr>
        <w:pStyle w:val="4"/>
        <w:keepNext w:val="0"/>
        <w:keepLines w:val="0"/>
        <w:snapToGrid w:val="0"/>
      </w:pPr>
      <w:r>
        <w:rPr>
          <w:rFonts w:hint="eastAsia"/>
        </w:rPr>
        <w:t>在软件系统上设计后台程序应获得建设单位和城市桥梁管理部门的书面批准。</w:t>
      </w:r>
    </w:p>
    <w:p>
      <w:pPr>
        <w:pStyle w:val="4"/>
        <w:keepNext w:val="0"/>
        <w:keepLines w:val="0"/>
        <w:snapToGrid w:val="0"/>
      </w:pPr>
      <w:r>
        <w:rPr>
          <w:rFonts w:hint="eastAsia"/>
        </w:rPr>
        <w:t>在软件实施过程中形成文档的内容要求应符合《计算机软件文档编制规范》GB/T 8567的规定。</w:t>
      </w:r>
    </w:p>
    <w:p>
      <w:pPr>
        <w:pStyle w:val="4"/>
        <w:keepNext w:val="0"/>
        <w:keepLines w:val="0"/>
        <w:snapToGrid w:val="0"/>
      </w:pPr>
      <w:r>
        <w:rPr>
          <w:rFonts w:hint="eastAsia"/>
        </w:rPr>
        <w:t>系统调试应由机电、结构和软件专业技术人员组成调试小组，根据设计文件和产品技术文件进行。</w:t>
      </w:r>
    </w:p>
    <w:p>
      <w:pPr>
        <w:pStyle w:val="4"/>
        <w:keepNext w:val="0"/>
        <w:keepLines w:val="0"/>
        <w:snapToGrid w:val="0"/>
      </w:pPr>
      <w:r>
        <w:rPr>
          <w:rFonts w:hint="eastAsia"/>
        </w:rPr>
        <w:t>系统调试前应制定调试方案并应采取必要的安全防护措施。</w:t>
      </w:r>
    </w:p>
    <w:p>
      <w:pPr>
        <w:pStyle w:val="4"/>
        <w:keepNext w:val="0"/>
        <w:keepLines w:val="0"/>
        <w:snapToGrid w:val="0"/>
      </w:pPr>
      <w:r>
        <w:rPr>
          <w:rFonts w:hint="eastAsia"/>
        </w:rPr>
        <w:t>系统调试应进行单项调试和联合调试，</w:t>
      </w:r>
      <w:r>
        <w:rPr>
          <w:rFonts w:hint="eastAsia"/>
          <w:lang w:val="en-US" w:eastAsia="zh-CN"/>
        </w:rPr>
        <w:t>应</w:t>
      </w:r>
      <w:r>
        <w:rPr>
          <w:rFonts w:hint="eastAsia"/>
        </w:rPr>
        <w:t>按照附录A中表A.1-A.4的要求出具调试报告。</w:t>
      </w:r>
    </w:p>
    <w:p>
      <w:pPr>
        <w:pStyle w:val="3"/>
        <w:jc w:val="center"/>
      </w:pPr>
      <w:bookmarkStart w:id="35" w:name="_Toc136506067"/>
      <w:r>
        <w:rPr>
          <w:rFonts w:hint="eastAsia"/>
        </w:rPr>
        <w:t>系统施工组织</w:t>
      </w:r>
      <w:bookmarkEnd w:id="35"/>
    </w:p>
    <w:p>
      <w:pPr>
        <w:pStyle w:val="4"/>
        <w:rPr>
          <w:color w:val="auto"/>
        </w:rPr>
      </w:pPr>
      <w:r>
        <w:rPr>
          <w:rFonts w:hint="eastAsia"/>
          <w:color w:val="auto"/>
        </w:rPr>
        <w:t>硬件安装实施</w:t>
      </w:r>
      <w:r>
        <w:rPr>
          <w:rFonts w:hint="eastAsia"/>
          <w:color w:val="auto"/>
          <w:lang w:val="en-US" w:eastAsia="zh-CN"/>
        </w:rPr>
        <w:t>应符合下列规定</w:t>
      </w:r>
      <w:r>
        <w:rPr>
          <w:rFonts w:hint="eastAsia"/>
        </w:rPr>
        <w:t>：</w:t>
      </w:r>
    </w:p>
    <w:p>
      <w:pPr>
        <w:numPr>
          <w:ilvl w:val="0"/>
          <w:numId w:val="4"/>
        </w:numPr>
        <w:tabs>
          <w:tab w:val="left" w:pos="0"/>
          <w:tab w:val="clear" w:pos="420"/>
        </w:tabs>
        <w:ind w:firstLine="374" w:firstLineChars="0"/>
      </w:pPr>
      <w:r>
        <w:rPr>
          <w:rFonts w:hint="eastAsia"/>
        </w:rPr>
        <w:t>表贴式应变传感器的安装应符合下列规定：</w:t>
      </w:r>
    </w:p>
    <w:p>
      <w:pPr>
        <w:numPr>
          <w:ilvl w:val="0"/>
          <w:numId w:val="5"/>
        </w:numPr>
        <w:ind w:firstLine="741" w:firstLineChars="309"/>
      </w:pPr>
      <w:r>
        <w:t>安装时，</w:t>
      </w:r>
      <w:r>
        <w:rPr>
          <w:rFonts w:hint="eastAsia"/>
        </w:rPr>
        <w:t>应</w:t>
      </w:r>
      <w:r>
        <w:t>用专用工具随时测量</w:t>
      </w:r>
      <w:r>
        <w:rPr>
          <w:rFonts w:hint="eastAsia"/>
        </w:rPr>
        <w:t>；</w:t>
      </w:r>
    </w:p>
    <w:p>
      <w:pPr>
        <w:numPr>
          <w:ilvl w:val="0"/>
          <w:numId w:val="5"/>
        </w:numPr>
        <w:ind w:firstLine="741" w:firstLineChars="309"/>
      </w:pPr>
      <w:r>
        <w:rPr>
          <w:rFonts w:hint="eastAsia"/>
        </w:rPr>
        <w:t>应</w:t>
      </w:r>
      <w:r>
        <w:t>定点</w:t>
      </w:r>
      <w:r>
        <w:rPr>
          <w:rFonts w:hint="eastAsia"/>
          <w:b w:val="0"/>
          <w:bCs w:val="0"/>
          <w:color w:val="auto"/>
        </w:rPr>
        <w:t>、</w:t>
      </w:r>
      <w:r>
        <w:t>测量及记录每一安装面的传感器之间需要的布线长度</w:t>
      </w:r>
      <w:r>
        <w:rPr>
          <w:rFonts w:hint="eastAsia"/>
        </w:rPr>
        <w:t>、</w:t>
      </w:r>
      <w:r>
        <w:t>相对位置</w:t>
      </w:r>
      <w:r>
        <w:rPr>
          <w:rFonts w:hint="eastAsia"/>
        </w:rPr>
        <w:t>、</w:t>
      </w:r>
      <w:r>
        <w:t>算出预留线的长度</w:t>
      </w:r>
      <w:r>
        <w:rPr>
          <w:rFonts w:hint="eastAsia"/>
          <w:lang w:eastAsia="zh-CN"/>
        </w:rPr>
        <w:t>；</w:t>
      </w:r>
    </w:p>
    <w:p>
      <w:pPr>
        <w:numPr>
          <w:ilvl w:val="0"/>
          <w:numId w:val="5"/>
        </w:numPr>
        <w:ind w:firstLine="741" w:firstLineChars="309"/>
      </w:pPr>
      <w:r>
        <w:t>现场布线、走线，</w:t>
      </w:r>
      <w:r>
        <w:rPr>
          <w:rFonts w:hint="eastAsia"/>
        </w:rPr>
        <w:t>应</w:t>
      </w:r>
      <w:r>
        <w:t>将传感器牢固粘贴于被测结构物表面，</w:t>
      </w:r>
      <w:r>
        <w:rPr>
          <w:rFonts w:hint="eastAsia"/>
          <w:lang w:val="en-US" w:eastAsia="zh-CN"/>
        </w:rPr>
        <w:t>应</w:t>
      </w:r>
      <w:r>
        <w:t>用防水材料包裹；</w:t>
      </w:r>
    </w:p>
    <w:p>
      <w:pPr>
        <w:numPr>
          <w:ilvl w:val="0"/>
          <w:numId w:val="5"/>
        </w:numPr>
        <w:ind w:firstLine="741" w:firstLineChars="309"/>
      </w:pPr>
      <w:r>
        <w:rPr>
          <w:rFonts w:hint="eastAsia"/>
        </w:rPr>
        <w:t>应</w:t>
      </w:r>
      <w:r>
        <w:t>将所有线固定到线槽中，进行编号</w:t>
      </w:r>
      <w:r>
        <w:rPr>
          <w:rFonts w:hint="eastAsia"/>
          <w:lang w:eastAsia="zh-CN"/>
        </w:rPr>
        <w:t>；</w:t>
      </w:r>
    </w:p>
    <w:p>
      <w:pPr>
        <w:numPr>
          <w:ilvl w:val="0"/>
          <w:numId w:val="5"/>
        </w:numPr>
        <w:ind w:firstLine="741" w:firstLineChars="309"/>
      </w:pPr>
      <w:r>
        <w:t>安装时，</w:t>
      </w:r>
      <w:r>
        <w:rPr>
          <w:rFonts w:hint="eastAsia"/>
        </w:rPr>
        <w:t>应</w:t>
      </w:r>
      <w:r>
        <w:t>按照设计文件给予</w:t>
      </w:r>
      <w:r>
        <w:rPr>
          <w:rFonts w:hint="eastAsia"/>
        </w:rPr>
        <w:t>的</w:t>
      </w:r>
      <w:r>
        <w:t>位置进行安装，其横向偏差不应大于0.5cm，纵向位置不应大于1cm。</w:t>
      </w:r>
      <w:r>
        <w:rPr>
          <w:rFonts w:hint="eastAsia"/>
        </w:rPr>
        <w:t>传感器应</w:t>
      </w:r>
      <w:r>
        <w:t>与结构物抗弯构件相平行，角度偏差不大于1°；</w:t>
      </w:r>
    </w:p>
    <w:p>
      <w:pPr>
        <w:numPr>
          <w:ilvl w:val="0"/>
          <w:numId w:val="5"/>
        </w:numPr>
        <w:ind w:firstLine="741" w:firstLineChars="309"/>
      </w:pPr>
      <w:r>
        <w:t>安装时，传感器位置应布设结构物变形响应位置不利位置及响应较大位置</w:t>
      </w:r>
      <w:r>
        <w:rPr>
          <w:rFonts w:hint="eastAsia"/>
        </w:rPr>
        <w:t>。</w:t>
      </w:r>
    </w:p>
    <w:p>
      <w:pPr>
        <w:numPr>
          <w:ilvl w:val="0"/>
          <w:numId w:val="4"/>
        </w:numPr>
        <w:tabs>
          <w:tab w:val="left" w:pos="0"/>
          <w:tab w:val="clear" w:pos="420"/>
        </w:tabs>
        <w:ind w:firstLine="374" w:firstLineChars="0"/>
      </w:pPr>
      <w:r>
        <w:rPr>
          <w:rFonts w:hint="eastAsia"/>
        </w:rPr>
        <w:t>预埋式应变传感器的安装应符合下列规定：</w:t>
      </w:r>
    </w:p>
    <w:p>
      <w:pPr>
        <w:numPr>
          <w:ilvl w:val="0"/>
          <w:numId w:val="6"/>
        </w:numPr>
        <w:ind w:firstLine="741" w:firstLineChars="309"/>
      </w:pPr>
      <w:r>
        <w:rPr>
          <w:rFonts w:hint="eastAsia"/>
        </w:rPr>
        <w:t>安装位置与设计监测点的距离偏差</w:t>
      </w:r>
      <w:r>
        <w:rPr>
          <w:rFonts w:hint="eastAsia"/>
          <w:lang w:val="en-US" w:eastAsia="zh-CN"/>
        </w:rPr>
        <w:t>不</w:t>
      </w:r>
      <w:r>
        <w:rPr>
          <w:rFonts w:hint="eastAsia"/>
        </w:rPr>
        <w:t>应大于30mm,角度偏差不应大于1°；</w:t>
      </w:r>
    </w:p>
    <w:p>
      <w:pPr>
        <w:numPr>
          <w:ilvl w:val="0"/>
          <w:numId w:val="6"/>
        </w:numPr>
        <w:ind w:firstLine="741" w:firstLineChars="309"/>
      </w:pPr>
      <w:r>
        <w:t>宜采用结构钢筋或辅助钢筋进行预埋传感器的定位</w:t>
      </w:r>
      <w:r>
        <w:rPr>
          <w:rFonts w:hint="eastAsia"/>
        </w:rPr>
        <w:t>，</w:t>
      </w:r>
      <w:r>
        <w:t>并应在传感器两端、中部分别绑扎牢固</w:t>
      </w:r>
      <w:r>
        <w:rPr>
          <w:rFonts w:hint="eastAsia"/>
        </w:rPr>
        <w:t>；</w:t>
      </w:r>
    </w:p>
    <w:p>
      <w:pPr>
        <w:numPr>
          <w:ilvl w:val="0"/>
          <w:numId w:val="6"/>
        </w:numPr>
        <w:ind w:firstLine="741" w:firstLineChars="309"/>
      </w:pPr>
      <w:r>
        <w:t>当传感器预浇在预制块内埋设时，预制混凝土块的设计强度应与监测点处混凝土的设计强度相同。</w:t>
      </w:r>
      <w:r>
        <w:rPr>
          <w:rFonts w:hint="eastAsia"/>
        </w:rPr>
        <w:t>在传感器测试方向，预制块顶面应在钢筋保护层以内；</w:t>
      </w:r>
    </w:p>
    <w:p>
      <w:pPr>
        <w:numPr>
          <w:ilvl w:val="0"/>
          <w:numId w:val="6"/>
        </w:numPr>
        <w:ind w:firstLine="741" w:firstLineChars="309"/>
      </w:pPr>
      <w:r>
        <w:rPr>
          <w:rFonts w:hint="eastAsia"/>
        </w:rPr>
        <w:t>传感器的</w:t>
      </w:r>
      <w:r>
        <w:t>引出线缆宜采用软管保护</w:t>
      </w:r>
      <w:r>
        <w:rPr>
          <w:rFonts w:hint="eastAsia"/>
        </w:rPr>
        <w:t>，</w:t>
      </w:r>
      <w:r>
        <w:t>软管与钢筋的绑扎间距</w:t>
      </w:r>
      <w:r>
        <w:rPr>
          <w:rFonts w:hint="eastAsia"/>
          <w:lang w:val="en-US" w:eastAsia="zh-CN"/>
        </w:rPr>
        <w:t>不应</w:t>
      </w:r>
      <w:r>
        <w:t>大于1m</w:t>
      </w:r>
      <w:r>
        <w:rPr>
          <w:rFonts w:hint="eastAsia"/>
        </w:rPr>
        <w:t>；</w:t>
      </w:r>
    </w:p>
    <w:p>
      <w:pPr>
        <w:numPr>
          <w:ilvl w:val="0"/>
          <w:numId w:val="6"/>
        </w:numPr>
        <w:ind w:firstLine="741" w:firstLineChars="309"/>
      </w:pPr>
      <w:r>
        <w:rPr>
          <w:rFonts w:hint="eastAsia"/>
        </w:rPr>
        <w:t>在混凝土浇筑过程中,</w:t>
      </w:r>
      <w:r>
        <w:rPr>
          <w:rFonts w:hint="eastAsia"/>
          <w:lang w:val="en-US" w:eastAsia="zh-CN"/>
        </w:rPr>
        <w:t>严禁</w:t>
      </w:r>
      <w:r>
        <w:rPr>
          <w:rFonts w:hint="eastAsia"/>
        </w:rPr>
        <w:t>振捣器触碰传感器。</w:t>
      </w:r>
    </w:p>
    <w:p>
      <w:pPr>
        <w:numPr>
          <w:ilvl w:val="0"/>
          <w:numId w:val="4"/>
        </w:numPr>
        <w:tabs>
          <w:tab w:val="left" w:pos="0"/>
          <w:tab w:val="clear" w:pos="420"/>
        </w:tabs>
        <w:ind w:firstLine="374" w:firstLineChars="0"/>
      </w:pPr>
      <w:r>
        <w:rPr>
          <w:rFonts w:hint="eastAsia"/>
        </w:rPr>
        <w:t>加速度传感器</w:t>
      </w:r>
      <w:r>
        <w:t>的安装应符合下列规定：</w:t>
      </w:r>
    </w:p>
    <w:p>
      <w:pPr>
        <w:numPr>
          <w:ilvl w:val="0"/>
          <w:numId w:val="7"/>
        </w:numPr>
        <w:ind w:firstLine="741" w:firstLineChars="309"/>
      </w:pPr>
      <w:r>
        <w:t>安装时</w:t>
      </w:r>
      <w:r>
        <w:rPr>
          <w:rFonts w:hint="eastAsia"/>
        </w:rPr>
        <w:t>，</w:t>
      </w:r>
      <w:r>
        <w:t>传感器的安装位置和方向</w:t>
      </w:r>
      <w:r>
        <w:rPr>
          <w:rFonts w:hint="eastAsia"/>
        </w:rPr>
        <w:t>应</w:t>
      </w:r>
      <w:r>
        <w:t>正确无误</w:t>
      </w:r>
      <w:r>
        <w:rPr>
          <w:rFonts w:hint="eastAsia"/>
        </w:rPr>
        <w:t>；</w:t>
      </w:r>
      <w:r>
        <w:t>位置确定后</w:t>
      </w:r>
      <w:r>
        <w:rPr>
          <w:rFonts w:hint="eastAsia"/>
        </w:rPr>
        <w:t>，</w:t>
      </w:r>
      <w:r>
        <w:t>安装螺钉时</w:t>
      </w:r>
      <w:r>
        <w:rPr>
          <w:rFonts w:hint="eastAsia"/>
          <w:lang w:val="en-US" w:eastAsia="zh-CN"/>
        </w:rPr>
        <w:t>应</w:t>
      </w:r>
      <w:r>
        <w:t>使用螺纹锁固胶加以锁固</w:t>
      </w:r>
      <w:r>
        <w:rPr>
          <w:rFonts w:hint="eastAsia"/>
          <w:lang w:eastAsia="zh-CN"/>
        </w:rPr>
        <w:t>；</w:t>
      </w:r>
    </w:p>
    <w:p>
      <w:pPr>
        <w:numPr>
          <w:ilvl w:val="0"/>
          <w:numId w:val="7"/>
        </w:numPr>
        <w:ind w:firstLine="741" w:firstLineChars="309"/>
      </w:pPr>
      <w:r>
        <w:t>测试方向与设计方向的角度偏差</w:t>
      </w:r>
      <w:r>
        <w:rPr>
          <w:rFonts w:hint="eastAsia"/>
          <w:lang w:val="en-US" w:eastAsia="zh-CN"/>
        </w:rPr>
        <w:t>不</w:t>
      </w:r>
      <w:r>
        <w:t>应大于1°</w:t>
      </w:r>
      <w:r>
        <w:rPr>
          <w:rFonts w:hint="eastAsia"/>
        </w:rPr>
        <w:t>；</w:t>
      </w:r>
    </w:p>
    <w:p>
      <w:pPr>
        <w:numPr>
          <w:ilvl w:val="0"/>
          <w:numId w:val="7"/>
        </w:numPr>
        <w:ind w:firstLine="741" w:firstLineChars="309"/>
      </w:pPr>
      <w:r>
        <w:t>用单螺栓固定加速度传感器时</w:t>
      </w:r>
      <w:r>
        <w:rPr>
          <w:rFonts w:hint="eastAsia"/>
        </w:rPr>
        <w:t>，</w:t>
      </w:r>
      <w:r>
        <w:t>应采取防止加速度传感器发生转动的措施</w:t>
      </w:r>
      <w:r>
        <w:rPr>
          <w:rFonts w:hint="eastAsia"/>
        </w:rPr>
        <w:t>；</w:t>
      </w:r>
    </w:p>
    <w:p>
      <w:pPr>
        <w:numPr>
          <w:ilvl w:val="0"/>
          <w:numId w:val="7"/>
        </w:numPr>
        <w:ind w:firstLine="741" w:firstLineChars="309"/>
      </w:pPr>
      <w:r>
        <w:t>加速度传感器外壳与接地体之间的阻抗</w:t>
      </w:r>
      <w:r>
        <w:rPr>
          <w:rFonts w:hint="eastAsia"/>
          <w:lang w:val="en-US" w:eastAsia="zh-CN"/>
        </w:rPr>
        <w:t>不</w:t>
      </w:r>
      <w:r>
        <w:t>应大于1Ω；</w:t>
      </w:r>
    </w:p>
    <w:p>
      <w:pPr>
        <w:numPr>
          <w:ilvl w:val="0"/>
          <w:numId w:val="7"/>
        </w:numPr>
        <w:ind w:firstLine="741" w:firstLineChars="309"/>
      </w:pPr>
      <w:r>
        <w:t>加速度传感器的屏蔽线外层应与接地体可靠连接。</w:t>
      </w:r>
    </w:p>
    <w:p>
      <w:pPr>
        <w:numPr>
          <w:ilvl w:val="0"/>
          <w:numId w:val="4"/>
        </w:numPr>
        <w:tabs>
          <w:tab w:val="left" w:pos="0"/>
          <w:tab w:val="clear" w:pos="420"/>
        </w:tabs>
        <w:ind w:firstLine="374" w:firstLineChars="0"/>
      </w:pPr>
      <w:r>
        <w:rPr>
          <w:rFonts w:hint="eastAsia"/>
        </w:rPr>
        <w:t>倾角传感器的安装应符合下列规定：</w:t>
      </w:r>
    </w:p>
    <w:p>
      <w:pPr>
        <w:numPr>
          <w:ilvl w:val="0"/>
          <w:numId w:val="8"/>
        </w:numPr>
        <w:ind w:firstLine="741" w:firstLineChars="309"/>
      </w:pPr>
      <w:r>
        <w:t>安装方式应符合设计规定。当设计无规定时，宜采用刚性连接将其与被测构件牢固连接；</w:t>
      </w:r>
    </w:p>
    <w:p>
      <w:pPr>
        <w:numPr>
          <w:ilvl w:val="0"/>
          <w:numId w:val="8"/>
        </w:numPr>
        <w:ind w:firstLine="741" w:firstLineChars="309"/>
      </w:pPr>
      <w:r>
        <w:t>安装精度应符合设计规定。当设计无规定时，倾角仪轴线宜与被测构件轴线重合，水平位置偏差不宜大于1cm；</w:t>
      </w:r>
    </w:p>
    <w:p>
      <w:pPr>
        <w:numPr>
          <w:ilvl w:val="0"/>
          <w:numId w:val="8"/>
        </w:numPr>
        <w:ind w:firstLine="741" w:firstLineChars="309"/>
      </w:pPr>
      <w:r>
        <w:t>安装后应及时读取初始值，并应作为传感器的起始值。</w:t>
      </w:r>
    </w:p>
    <w:p>
      <w:pPr>
        <w:numPr>
          <w:ilvl w:val="0"/>
          <w:numId w:val="4"/>
        </w:numPr>
        <w:tabs>
          <w:tab w:val="left" w:pos="0"/>
          <w:tab w:val="clear" w:pos="420"/>
        </w:tabs>
        <w:ind w:firstLine="374" w:firstLineChars="0"/>
      </w:pPr>
      <w:r>
        <w:t>静力水准</w:t>
      </w:r>
      <w:r>
        <w:rPr>
          <w:rFonts w:hint="eastAsia"/>
        </w:rPr>
        <w:t>传感器</w:t>
      </w:r>
      <w:r>
        <w:t>的安装应符合下列规定：</w:t>
      </w:r>
    </w:p>
    <w:p>
      <w:pPr>
        <w:numPr>
          <w:ilvl w:val="0"/>
          <w:numId w:val="9"/>
        </w:numPr>
        <w:ind w:firstLine="741" w:firstLineChars="309"/>
      </w:pPr>
      <w:r>
        <w:rPr>
          <w:rFonts w:hint="eastAsia"/>
        </w:rPr>
        <w:t>采用螺栓或抱箍固定传感器时，宜先在螺栓或抱箍及传感器的连接面上满涂环氧树脂，再拧紧螺栓或抱箍；</w:t>
      </w:r>
    </w:p>
    <w:p>
      <w:pPr>
        <w:numPr>
          <w:ilvl w:val="0"/>
          <w:numId w:val="9"/>
        </w:numPr>
        <w:ind w:firstLine="741" w:firstLineChars="309"/>
      </w:pPr>
      <w:r>
        <w:rPr>
          <w:rFonts w:hint="eastAsia"/>
        </w:rPr>
        <w:t>传感器应竖直安装，角度偏差不应大于 2°；</w:t>
      </w:r>
    </w:p>
    <w:p>
      <w:pPr>
        <w:numPr>
          <w:ilvl w:val="0"/>
          <w:numId w:val="9"/>
        </w:numPr>
        <w:ind w:firstLine="741" w:firstLineChars="309"/>
      </w:pPr>
      <w:r>
        <w:rPr>
          <w:rFonts w:hint="eastAsia"/>
        </w:rPr>
        <w:t>监测点的高程差应符合设计规定。设计无规定时，传感器各监测点的高程差不</w:t>
      </w:r>
      <w:r>
        <w:rPr>
          <w:rFonts w:hint="eastAsia"/>
          <w:lang w:val="en-US" w:eastAsia="zh-CN"/>
        </w:rPr>
        <w:t>应</w:t>
      </w:r>
      <w:r>
        <w:rPr>
          <w:rFonts w:hint="eastAsia"/>
        </w:rPr>
        <w:t xml:space="preserve">大于其测量范围的1/4； </w:t>
      </w:r>
    </w:p>
    <w:p>
      <w:pPr>
        <w:numPr>
          <w:ilvl w:val="0"/>
          <w:numId w:val="9"/>
        </w:numPr>
        <w:ind w:firstLine="741" w:firstLineChars="309"/>
      </w:pPr>
      <w:r>
        <w:rPr>
          <w:rFonts w:hint="eastAsia"/>
        </w:rPr>
        <w:t>连通主管、支管的直径不应小于设计直径 ；</w:t>
      </w:r>
    </w:p>
    <w:p>
      <w:pPr>
        <w:numPr>
          <w:ilvl w:val="0"/>
          <w:numId w:val="9"/>
        </w:numPr>
        <w:ind w:firstLine="741" w:firstLineChars="309"/>
      </w:pPr>
      <w:r>
        <w:rPr>
          <w:rFonts w:hint="eastAsia"/>
        </w:rPr>
        <w:t>连通主管、支管应采用抱箍、卡环或定位卡等定位装置可靠固定在结构物上；</w:t>
      </w:r>
    </w:p>
    <w:p>
      <w:pPr>
        <w:numPr>
          <w:ilvl w:val="0"/>
          <w:numId w:val="9"/>
        </w:numPr>
        <w:ind w:firstLine="741" w:firstLineChars="309"/>
      </w:pPr>
      <w:r>
        <w:rPr>
          <w:rFonts w:hint="eastAsia"/>
        </w:rPr>
        <w:t>连通管的弯曲半径应符合设计规定。当设计无规定时，弯曲半径应大于管道外径的3. 5倍；</w:t>
      </w:r>
    </w:p>
    <w:p>
      <w:pPr>
        <w:numPr>
          <w:ilvl w:val="0"/>
          <w:numId w:val="9"/>
        </w:numPr>
        <w:ind w:firstLine="741" w:firstLineChars="309"/>
      </w:pPr>
      <w:r>
        <w:rPr>
          <w:rFonts w:hint="eastAsia"/>
        </w:rPr>
        <w:t>连接处管的内径不得小于被连接管道的内径；</w:t>
      </w:r>
    </w:p>
    <w:p>
      <w:pPr>
        <w:numPr>
          <w:ilvl w:val="0"/>
          <w:numId w:val="9"/>
        </w:numPr>
        <w:ind w:firstLine="741" w:firstLineChars="309"/>
      </w:pPr>
      <w:r>
        <w:rPr>
          <w:rFonts w:hint="eastAsia"/>
        </w:rPr>
        <w:t>施工过程中不得扭曲、划伤连通管；</w:t>
      </w:r>
    </w:p>
    <w:p>
      <w:pPr>
        <w:numPr>
          <w:ilvl w:val="0"/>
          <w:numId w:val="9"/>
        </w:numPr>
        <w:ind w:firstLine="741" w:firstLineChars="309"/>
      </w:pPr>
      <w:r>
        <w:rPr>
          <w:rFonts w:hint="eastAsia"/>
        </w:rPr>
        <w:t>灌</w:t>
      </w:r>
      <w:r>
        <w:rPr>
          <w:rFonts w:hint="eastAsia"/>
          <w:lang w:val="en-US" w:eastAsia="zh-CN"/>
        </w:rPr>
        <w:t>入</w:t>
      </w:r>
      <w:r>
        <w:rPr>
          <w:rFonts w:hint="eastAsia"/>
        </w:rPr>
        <w:t>液体的材料、配比应符合设计要求；.</w:t>
      </w:r>
    </w:p>
    <w:p>
      <w:pPr>
        <w:numPr>
          <w:ilvl w:val="0"/>
          <w:numId w:val="9"/>
        </w:numPr>
        <w:ind w:firstLine="741" w:firstLineChars="309"/>
      </w:pPr>
      <w:r>
        <w:rPr>
          <w:rFonts w:hint="eastAsia"/>
        </w:rPr>
        <w:t>应从连通管的一端连续、匀速地灌</w:t>
      </w:r>
      <w:r>
        <w:rPr>
          <w:rFonts w:hint="eastAsia"/>
          <w:lang w:val="en-US" w:eastAsia="zh-CN"/>
        </w:rPr>
        <w:t>入</w:t>
      </w:r>
      <w:r>
        <w:rPr>
          <w:rFonts w:hint="eastAsia"/>
        </w:rPr>
        <w:t>液体，</w:t>
      </w:r>
      <w:r>
        <w:rPr>
          <w:rFonts w:hint="eastAsia"/>
          <w:lang w:val="en-US" w:eastAsia="zh-CN"/>
        </w:rPr>
        <w:t>应</w:t>
      </w:r>
      <w:r>
        <w:rPr>
          <w:rFonts w:hint="eastAsia"/>
        </w:rPr>
        <w:t>避免在连通管中形成气泡；</w:t>
      </w:r>
    </w:p>
    <w:p>
      <w:pPr>
        <w:numPr>
          <w:ilvl w:val="0"/>
          <w:numId w:val="9"/>
        </w:numPr>
        <w:ind w:firstLine="741" w:firstLineChars="309"/>
      </w:pPr>
      <w:r>
        <w:rPr>
          <w:rFonts w:hint="eastAsia"/>
        </w:rPr>
        <w:t>应采用有效措施排出连通管中水平长度大于10mm的气泡；</w:t>
      </w:r>
    </w:p>
    <w:p>
      <w:pPr>
        <w:numPr>
          <w:ilvl w:val="0"/>
          <w:numId w:val="9"/>
        </w:numPr>
        <w:ind w:firstLine="741" w:firstLineChars="309"/>
      </w:pPr>
      <w:r>
        <w:rPr>
          <w:rFonts w:hint="eastAsia"/>
        </w:rPr>
        <w:t>连通管安装完成后，应对连通管施加不小于2个标准大气压并持续30min，所有的管道、接头处应无渗漏现象。</w:t>
      </w:r>
    </w:p>
    <w:p>
      <w:pPr>
        <w:numPr>
          <w:ilvl w:val="0"/>
          <w:numId w:val="4"/>
        </w:numPr>
        <w:tabs>
          <w:tab w:val="left" w:pos="0"/>
          <w:tab w:val="clear" w:pos="420"/>
        </w:tabs>
        <w:ind w:firstLine="374" w:firstLineChars="0"/>
      </w:pPr>
      <w:r>
        <w:t>动态称重系统的安装应符合下列规定：</w:t>
      </w:r>
    </w:p>
    <w:p>
      <w:pPr>
        <w:numPr>
          <w:ilvl w:val="0"/>
          <w:numId w:val="10"/>
        </w:numPr>
        <w:ind w:firstLine="741" w:firstLineChars="309"/>
      </w:pPr>
      <w:r>
        <w:t>动态称重系统安装位置前后的引道应为直线路段，传感器两侧引道的长度不应小于20m；引道宽度应超出传感器两端各300mm以上且不应小于3m；</w:t>
      </w:r>
    </w:p>
    <w:p>
      <w:pPr>
        <w:numPr>
          <w:ilvl w:val="0"/>
          <w:numId w:val="10"/>
        </w:numPr>
        <w:ind w:firstLine="741" w:firstLineChars="309"/>
      </w:pPr>
      <w:r>
        <w:t>引道横向坡度应小于1%；</w:t>
      </w:r>
    </w:p>
    <w:p>
      <w:pPr>
        <w:numPr>
          <w:ilvl w:val="0"/>
          <w:numId w:val="10"/>
        </w:numPr>
        <w:ind w:firstLine="741" w:firstLineChars="309"/>
      </w:pPr>
      <w:r>
        <w:t>在传感器两侧8m范围以内，引道纵向水平倾斜度不应超±3mm；在传感器两侧8m范围之外，引道纵向水平倾斜度不应超过±6mm</w:t>
      </w:r>
      <w:r>
        <w:rPr>
          <w:rFonts w:hint="eastAsia"/>
        </w:rPr>
        <w:t>；</w:t>
      </w:r>
    </w:p>
    <w:p>
      <w:pPr>
        <w:numPr>
          <w:ilvl w:val="0"/>
          <w:numId w:val="10"/>
        </w:numPr>
        <w:ind w:firstLine="741" w:firstLineChars="309"/>
      </w:pPr>
      <w:r>
        <w:t>动态称重监测点的排水截面尺寸应符合设计文件要求；</w:t>
      </w:r>
    </w:p>
    <w:p>
      <w:pPr>
        <w:numPr>
          <w:ilvl w:val="0"/>
          <w:numId w:val="10"/>
        </w:numPr>
        <w:ind w:firstLine="741" w:firstLineChars="309"/>
      </w:pPr>
      <w:r>
        <w:t>动态称重传感器与路面水平面的高差应符合设计文件要求、当设计文件无要求时，高差不应大于3mm；</w:t>
      </w:r>
    </w:p>
    <w:p>
      <w:pPr>
        <w:numPr>
          <w:ilvl w:val="0"/>
          <w:numId w:val="10"/>
        </w:numPr>
        <w:ind w:firstLine="741" w:firstLineChars="309"/>
      </w:pPr>
      <w:r>
        <w:t>接地片的横截面面积和理深应符合设计文件要求。当设计文件无规定时，接地电阻不应大于4Ω；</w:t>
      </w:r>
    </w:p>
    <w:p>
      <w:pPr>
        <w:numPr>
          <w:ilvl w:val="0"/>
          <w:numId w:val="10"/>
        </w:numPr>
        <w:ind w:firstLine="741" w:firstLineChars="309"/>
      </w:pPr>
      <w:r>
        <w:t>安装时不应超开挖、超切割路面。安装完成后应及时修复，并不得影响道路使用；</w:t>
      </w:r>
    </w:p>
    <w:p>
      <w:pPr>
        <w:numPr>
          <w:ilvl w:val="0"/>
          <w:numId w:val="10"/>
        </w:numPr>
        <w:ind w:firstLine="741" w:firstLineChars="309"/>
      </w:pPr>
      <w:r>
        <w:t>动态称重传感器封印装置的安装应符合现行国家标准《动态公路自动衡器》GB/T 21296的规定。</w:t>
      </w:r>
    </w:p>
    <w:p>
      <w:pPr>
        <w:numPr>
          <w:ilvl w:val="0"/>
          <w:numId w:val="4"/>
        </w:numPr>
        <w:tabs>
          <w:tab w:val="left" w:pos="0"/>
          <w:tab w:val="clear" w:pos="420"/>
        </w:tabs>
        <w:ind w:firstLine="374" w:firstLineChars="0"/>
      </w:pPr>
      <w:r>
        <w:rPr>
          <w:rFonts w:hint="eastAsia"/>
        </w:rPr>
        <w:t>拉线式位移传感器</w:t>
      </w:r>
      <w:r>
        <w:t>的安装应符合下列规定：</w:t>
      </w:r>
    </w:p>
    <w:p>
      <w:pPr>
        <w:numPr>
          <w:ilvl w:val="0"/>
          <w:numId w:val="11"/>
        </w:numPr>
        <w:ind w:firstLine="741" w:firstLineChars="309"/>
      </w:pPr>
      <w:r>
        <w:t>传感器应固定在固定点，拉</w:t>
      </w:r>
      <w:r>
        <w:rPr>
          <w:rFonts w:hint="eastAsia"/>
        </w:rPr>
        <w:t>线</w:t>
      </w:r>
      <w:r>
        <w:t>端固定在移动点</w:t>
      </w:r>
      <w:r>
        <w:rPr>
          <w:rFonts w:hint="eastAsia"/>
        </w:rPr>
        <w:t>，</w:t>
      </w:r>
      <w:r>
        <w:t>并根据位移传感器的量程选择合适的安装位置</w:t>
      </w:r>
      <w:r>
        <w:rPr>
          <w:rFonts w:hint="eastAsia"/>
        </w:rPr>
        <w:t>；</w:t>
      </w:r>
    </w:p>
    <w:p>
      <w:pPr>
        <w:numPr>
          <w:ilvl w:val="0"/>
          <w:numId w:val="11"/>
        </w:numPr>
        <w:ind w:firstLine="741" w:firstLineChars="309"/>
      </w:pPr>
      <w:r>
        <w:t>测量好被测物的距离，调整好传感器的量程</w:t>
      </w:r>
      <w:r>
        <w:rPr>
          <w:rFonts w:hint="eastAsia"/>
        </w:rPr>
        <w:t>；</w:t>
      </w:r>
    </w:p>
    <w:p>
      <w:pPr>
        <w:numPr>
          <w:ilvl w:val="0"/>
          <w:numId w:val="11"/>
        </w:numPr>
        <w:ind w:firstLine="741" w:firstLineChars="309"/>
      </w:pPr>
      <w:r>
        <w:t>安装传感器</w:t>
      </w:r>
      <w:r>
        <w:rPr>
          <w:rFonts w:hint="eastAsia"/>
          <w:lang w:val="en-US" w:eastAsia="zh-CN"/>
        </w:rPr>
        <w:t>时</w:t>
      </w:r>
      <w:r>
        <w:t>，</w:t>
      </w:r>
      <w:r>
        <w:rPr>
          <w:rFonts w:hint="eastAsia"/>
          <w:lang w:val="en-US" w:eastAsia="zh-CN"/>
        </w:rPr>
        <w:t>应</w:t>
      </w:r>
      <w:r>
        <w:t>罩好防护罩</w:t>
      </w:r>
      <w:r>
        <w:rPr>
          <w:rFonts w:hint="eastAsia"/>
        </w:rPr>
        <w:t>，</w:t>
      </w:r>
      <w:r>
        <w:t>对传感器设备拉绳端做好保护。</w:t>
      </w:r>
    </w:p>
    <w:p>
      <w:pPr>
        <w:numPr>
          <w:ilvl w:val="0"/>
          <w:numId w:val="4"/>
        </w:numPr>
        <w:tabs>
          <w:tab w:val="left" w:pos="0"/>
          <w:tab w:val="clear" w:pos="420"/>
        </w:tabs>
        <w:ind w:firstLine="374" w:firstLineChars="0"/>
      </w:pPr>
      <w:r>
        <w:rPr>
          <w:rFonts w:hint="eastAsia"/>
        </w:rPr>
        <w:t>环境</w:t>
      </w:r>
      <w:r>
        <w:t>温湿度传感器的安装应符合下列规定:</w:t>
      </w:r>
    </w:p>
    <w:p>
      <w:pPr>
        <w:numPr>
          <w:ilvl w:val="0"/>
          <w:numId w:val="12"/>
        </w:numPr>
        <w:ind w:firstLine="741" w:firstLineChars="309"/>
      </w:pPr>
      <w:r>
        <w:t>温度传感器不应受到阳光的直接辐射</w:t>
      </w:r>
      <w:r>
        <w:rPr>
          <w:rFonts w:hint="eastAsia"/>
        </w:rPr>
        <w:t>；</w:t>
      </w:r>
    </w:p>
    <w:p>
      <w:pPr>
        <w:numPr>
          <w:ilvl w:val="0"/>
          <w:numId w:val="12"/>
        </w:numPr>
        <w:ind w:firstLine="741" w:firstLineChars="309"/>
      </w:pPr>
      <w:r>
        <w:rPr>
          <w:rFonts w:hint="eastAsia"/>
          <w:lang w:val="en-US" w:eastAsia="zh-CN"/>
        </w:rPr>
        <w:t>应</w:t>
      </w:r>
      <w:r>
        <w:t>选择较为典型的环境监测处；</w:t>
      </w:r>
    </w:p>
    <w:p>
      <w:pPr>
        <w:numPr>
          <w:ilvl w:val="0"/>
          <w:numId w:val="12"/>
        </w:numPr>
        <w:ind w:firstLine="741" w:firstLineChars="309"/>
      </w:pPr>
      <w:r>
        <w:t>湿度传感器不应安装在空气不流通的桥梁结构或保护装置内的死角处</w:t>
      </w:r>
      <w:r>
        <w:rPr>
          <w:rFonts w:hint="eastAsia"/>
        </w:rPr>
        <w:t>；</w:t>
      </w:r>
    </w:p>
    <w:p>
      <w:pPr>
        <w:numPr>
          <w:ilvl w:val="0"/>
          <w:numId w:val="12"/>
        </w:numPr>
        <w:ind w:firstLine="741" w:firstLineChars="309"/>
      </w:pPr>
      <w:r>
        <w:rPr>
          <w:rFonts w:hint="eastAsia"/>
          <w:lang w:val="en-US" w:eastAsia="zh-CN"/>
        </w:rPr>
        <w:t>应</w:t>
      </w:r>
      <w:r>
        <w:t>避免阳光及雨水等环境影响处</w:t>
      </w:r>
      <w:r>
        <w:rPr>
          <w:rFonts w:hint="eastAsia"/>
        </w:rPr>
        <w:t>。</w:t>
      </w:r>
    </w:p>
    <w:p>
      <w:pPr>
        <w:numPr>
          <w:ilvl w:val="0"/>
          <w:numId w:val="4"/>
        </w:numPr>
        <w:tabs>
          <w:tab w:val="left" w:pos="0"/>
          <w:tab w:val="clear" w:pos="420"/>
        </w:tabs>
        <w:ind w:firstLine="374" w:firstLineChars="0"/>
      </w:pPr>
      <w:r>
        <w:rPr>
          <w:rFonts w:hint="eastAsia"/>
        </w:rPr>
        <w:t>混凝土钻孔中</w:t>
      </w:r>
      <w:r>
        <w:t>温度传感器的安装应符合下列规定:</w:t>
      </w:r>
    </w:p>
    <w:p>
      <w:pPr>
        <w:numPr>
          <w:ilvl w:val="0"/>
          <w:numId w:val="13"/>
        </w:numPr>
        <w:ind w:firstLine="741" w:firstLineChars="309"/>
      </w:pPr>
      <w:r>
        <w:rPr>
          <w:rFonts w:hint="eastAsia"/>
        </w:rPr>
        <w:t>钻孔前应确认钻孔深度范围内无预应力钢筋；</w:t>
      </w:r>
    </w:p>
    <w:p>
      <w:pPr>
        <w:numPr>
          <w:ilvl w:val="0"/>
          <w:numId w:val="13"/>
        </w:numPr>
        <w:ind w:firstLine="741" w:firstLineChars="309"/>
      </w:pPr>
      <w:r>
        <w:rPr>
          <w:rFonts w:hint="eastAsia"/>
        </w:rPr>
        <w:t>钻孔方向应与设计孔位方向一致；钻孔深度不得小于设计深度；钻孔直径与设计偏差应小于3mm；</w:t>
      </w:r>
    </w:p>
    <w:p>
      <w:pPr>
        <w:numPr>
          <w:ilvl w:val="0"/>
          <w:numId w:val="13"/>
        </w:numPr>
        <w:ind w:firstLine="741" w:firstLineChars="309"/>
      </w:pPr>
      <w:r>
        <w:rPr>
          <w:rFonts w:hint="eastAsia"/>
        </w:rPr>
        <w:t>达到钻孔深度后，应将孔内残留物清理干净；</w:t>
      </w:r>
    </w:p>
    <w:p>
      <w:pPr>
        <w:numPr>
          <w:ilvl w:val="0"/>
          <w:numId w:val="13"/>
        </w:numPr>
        <w:ind w:firstLine="741" w:firstLineChars="309"/>
      </w:pPr>
      <w:r>
        <w:rPr>
          <w:rFonts w:hint="eastAsia"/>
        </w:rPr>
        <w:t>沿孔深方向宜采用钢筋等辅助工具进行温度传感器的定位；</w:t>
      </w:r>
    </w:p>
    <w:p>
      <w:pPr>
        <w:numPr>
          <w:ilvl w:val="0"/>
          <w:numId w:val="13"/>
        </w:numPr>
        <w:ind w:firstLine="741" w:firstLineChars="309"/>
      </w:pPr>
      <w:r>
        <w:rPr>
          <w:rFonts w:hint="eastAsia"/>
        </w:rPr>
        <w:t>传感器安装到位后应采用细石混凝土或砂浆将钻孔填塞密实。</w:t>
      </w:r>
    </w:p>
    <w:p>
      <w:pPr>
        <w:numPr>
          <w:ilvl w:val="0"/>
          <w:numId w:val="4"/>
        </w:numPr>
        <w:tabs>
          <w:tab w:val="left" w:pos="0"/>
          <w:tab w:val="clear" w:pos="420"/>
        </w:tabs>
        <w:ind w:firstLine="374" w:firstLineChars="0"/>
      </w:pPr>
      <w:r>
        <w:rPr>
          <w:rFonts w:hint="eastAsia"/>
        </w:rPr>
        <w:t>风速风向仪的安装应符合下列规定：</w:t>
      </w:r>
    </w:p>
    <w:p>
      <w:pPr>
        <w:numPr>
          <w:ilvl w:val="0"/>
          <w:numId w:val="14"/>
        </w:numPr>
        <w:ind w:left="-21" w:leftChars="0" w:firstLine="741" w:firstLineChars="0"/>
      </w:pPr>
      <w:r>
        <w:rPr>
          <w:rFonts w:hint="eastAsia"/>
          <w:lang w:val="en-US" w:eastAsia="zh-CN"/>
        </w:rPr>
        <w:t>应</w:t>
      </w:r>
      <w:r>
        <w:t>根据实际需要，灵活地选择安装方式，但必须保证仪器垂直放置，固定牢固；</w:t>
      </w:r>
    </w:p>
    <w:p>
      <w:pPr>
        <w:numPr>
          <w:ilvl w:val="0"/>
          <w:numId w:val="14"/>
        </w:numPr>
        <w:ind w:left="-21" w:leftChars="0" w:firstLine="741" w:firstLineChars="0"/>
      </w:pPr>
      <w:r>
        <w:rPr>
          <w:rFonts w:hint="eastAsia"/>
          <w:lang w:val="en-US" w:eastAsia="zh-CN"/>
        </w:rPr>
        <w:t>应</w:t>
      </w:r>
      <w:r>
        <w:t>提供适当的</w:t>
      </w:r>
      <w:r>
        <w:rPr>
          <w:rFonts w:hint="eastAsia"/>
          <w:lang w:val="en-US" w:eastAsia="zh-CN"/>
        </w:rPr>
        <w:t>安装</w:t>
      </w:r>
      <w:r>
        <w:t>连接界面</w:t>
      </w:r>
      <w:r>
        <w:rPr>
          <w:rFonts w:hint="eastAsia"/>
          <w:lang w:eastAsia="zh-CN"/>
        </w:rPr>
        <w:t>；</w:t>
      </w:r>
    </w:p>
    <w:p>
      <w:pPr>
        <w:numPr>
          <w:ilvl w:val="0"/>
          <w:numId w:val="14"/>
        </w:numPr>
        <w:ind w:left="-21" w:leftChars="0" w:firstLine="741" w:firstLineChars="0"/>
      </w:pPr>
      <w:r>
        <w:rPr>
          <w:rFonts w:hint="eastAsia"/>
        </w:rPr>
        <w:t>风速风向仪安装时，应采取相关保护措施；</w:t>
      </w:r>
    </w:p>
    <w:p>
      <w:pPr>
        <w:numPr>
          <w:ilvl w:val="0"/>
          <w:numId w:val="14"/>
        </w:numPr>
        <w:ind w:left="-21" w:leftChars="0" w:firstLine="741" w:firstLineChars="0"/>
        <w:rPr>
          <w:rFonts w:hint="eastAsia"/>
        </w:rPr>
      </w:pPr>
      <w:r>
        <w:rPr>
          <w:rFonts w:hint="eastAsia"/>
          <w:lang w:val="en-US" w:eastAsia="zh-CN"/>
        </w:rPr>
        <w:t>对</w:t>
      </w:r>
      <w:r>
        <w:rPr>
          <w:rFonts w:hint="eastAsia"/>
        </w:rPr>
        <w:t>安装在突出</w:t>
      </w:r>
      <w:r>
        <w:rPr>
          <w:rFonts w:hint="eastAsia"/>
          <w:lang w:val="en-US" w:eastAsia="zh-CN"/>
        </w:rPr>
        <w:t>桥面</w:t>
      </w:r>
      <w:r>
        <w:rPr>
          <w:rFonts w:hint="eastAsia"/>
        </w:rPr>
        <w:t>箱梁外缘伸臂上</w:t>
      </w:r>
      <w:r>
        <w:rPr>
          <w:rFonts w:hint="eastAsia"/>
          <w:lang w:val="en-US" w:eastAsia="zh-CN"/>
        </w:rPr>
        <w:t>的风速风向仪</w:t>
      </w:r>
      <w:r>
        <w:rPr>
          <w:rFonts w:hint="eastAsia"/>
        </w:rPr>
        <w:t>，</w:t>
      </w:r>
      <w:r>
        <w:rPr>
          <w:rFonts w:hint="eastAsia"/>
          <w:lang w:val="en-US" w:eastAsia="zh-CN"/>
        </w:rPr>
        <w:t>风速风向</w:t>
      </w:r>
      <w:r>
        <w:rPr>
          <w:rFonts w:hint="eastAsia"/>
        </w:rPr>
        <w:t>仪与箱梁风嘴最外缘的水平距离应大于3.0m；</w:t>
      </w:r>
    </w:p>
    <w:p>
      <w:pPr>
        <w:numPr>
          <w:ilvl w:val="0"/>
          <w:numId w:val="14"/>
        </w:numPr>
        <w:ind w:left="-21" w:leftChars="0" w:firstLine="741" w:firstLineChars="0"/>
        <w:rPr>
          <w:rFonts w:hint="eastAsia"/>
        </w:rPr>
      </w:pPr>
      <w:r>
        <w:rPr>
          <w:rFonts w:hint="eastAsia"/>
          <w:lang w:val="en-US" w:eastAsia="zh-CN"/>
        </w:rPr>
        <w:t>应</w:t>
      </w:r>
      <w:r>
        <w:rPr>
          <w:rFonts w:hint="eastAsia"/>
        </w:rPr>
        <w:t>选择安装在盛行风的一侧；</w:t>
      </w:r>
    </w:p>
    <w:p>
      <w:pPr>
        <w:numPr>
          <w:ilvl w:val="0"/>
          <w:numId w:val="14"/>
        </w:numPr>
        <w:ind w:left="-21" w:leftChars="0" w:firstLine="741" w:firstLineChars="0"/>
      </w:pPr>
      <w:r>
        <w:rPr>
          <w:rFonts w:hint="eastAsia"/>
        </w:rPr>
        <w:t>在安装</w:t>
      </w:r>
      <w:r>
        <w:t>过程中，必须用精密的方向测定仪器先测定某个固定方向</w:t>
      </w:r>
      <w:r>
        <w:rPr>
          <w:rFonts w:hint="eastAsia"/>
        </w:rPr>
        <w:t>，</w:t>
      </w:r>
      <w:r>
        <w:t>“零位”指示箭头依据这个方向来确定仪器的安装方位</w:t>
      </w:r>
      <w:r>
        <w:rPr>
          <w:rFonts w:hint="eastAsia"/>
          <w:lang w:eastAsia="zh-CN"/>
        </w:rPr>
        <w:t>；</w:t>
      </w:r>
    </w:p>
    <w:p>
      <w:pPr>
        <w:numPr>
          <w:ilvl w:val="0"/>
          <w:numId w:val="14"/>
        </w:numPr>
        <w:ind w:left="-21" w:leftChars="0" w:firstLine="741" w:firstLineChars="0"/>
      </w:pPr>
      <w:r>
        <w:rPr>
          <w:rFonts w:hint="eastAsia"/>
        </w:rPr>
        <w:t>风向标前后重量应平衡，前后两翼板应与旋转轴线位于同一平面内；</w:t>
      </w:r>
    </w:p>
    <w:p>
      <w:pPr>
        <w:numPr>
          <w:ilvl w:val="0"/>
          <w:numId w:val="14"/>
        </w:numPr>
        <w:ind w:left="-21" w:leftChars="0" w:firstLine="741" w:firstLineChars="0"/>
      </w:pPr>
      <w:r>
        <w:rPr>
          <w:rFonts w:hint="eastAsia"/>
        </w:rPr>
        <w:t>在60m/s的环境风速下</w:t>
      </w:r>
      <w:r>
        <w:rPr>
          <w:rFonts w:hint="eastAsia"/>
          <w:lang w:val="en-US" w:eastAsia="zh-CN"/>
        </w:rPr>
        <w:t>不得</w:t>
      </w:r>
      <w:r>
        <w:rPr>
          <w:rFonts w:hint="eastAsia"/>
        </w:rPr>
        <w:t>对设备和立柱结构造成破坏。</w:t>
      </w:r>
    </w:p>
    <w:p>
      <w:pPr>
        <w:numPr>
          <w:ilvl w:val="0"/>
          <w:numId w:val="4"/>
        </w:numPr>
        <w:tabs>
          <w:tab w:val="left" w:pos="0"/>
          <w:tab w:val="clear" w:pos="420"/>
        </w:tabs>
        <w:ind w:firstLine="374" w:firstLineChars="0"/>
      </w:pPr>
      <w:r>
        <w:rPr>
          <w:rFonts w:hint="eastAsia"/>
        </w:rPr>
        <w:t>数采</w:t>
      </w:r>
      <w:r>
        <w:t>设备</w:t>
      </w:r>
      <w:r>
        <w:rPr>
          <w:rFonts w:hint="eastAsia"/>
        </w:rPr>
        <w:t>的</w:t>
      </w:r>
      <w:r>
        <w:t>安装应符合下列规定：</w:t>
      </w:r>
    </w:p>
    <w:p>
      <w:pPr>
        <w:numPr>
          <w:ilvl w:val="0"/>
          <w:numId w:val="15"/>
        </w:numPr>
        <w:ind w:firstLine="741" w:firstLineChars="309"/>
      </w:pPr>
      <w:r>
        <w:t>数采设备与传输设备在安装前应进行检查、检验，</w:t>
      </w:r>
      <w:r>
        <w:rPr>
          <w:rFonts w:hint="eastAsia"/>
          <w:lang w:val="en-US" w:eastAsia="zh-CN"/>
        </w:rPr>
        <w:t>应</w:t>
      </w:r>
      <w:r>
        <w:t>符合监测系统设计要求及产品技术文件所规定的技术性能</w:t>
      </w:r>
      <w:r>
        <w:rPr>
          <w:rFonts w:hint="eastAsia"/>
        </w:rPr>
        <w:t>；</w:t>
      </w:r>
    </w:p>
    <w:p>
      <w:pPr>
        <w:numPr>
          <w:ilvl w:val="0"/>
          <w:numId w:val="15"/>
        </w:numPr>
        <w:ind w:firstLine="741" w:firstLineChars="309"/>
      </w:pPr>
      <w:r>
        <w:t>数采设备和传输设备应安装在采集机柜或者控制柜中，</w:t>
      </w:r>
      <w:r>
        <w:rPr>
          <w:rFonts w:hint="eastAsia"/>
          <w:lang w:val="en-US" w:eastAsia="zh-CN"/>
        </w:rPr>
        <w:t>应</w:t>
      </w:r>
      <w:r>
        <w:t>设置齐全、清晰的铭牌标志</w:t>
      </w:r>
      <w:r>
        <w:rPr>
          <w:rFonts w:hint="eastAsia"/>
        </w:rPr>
        <w:t>；</w:t>
      </w:r>
    </w:p>
    <w:p>
      <w:pPr>
        <w:numPr>
          <w:ilvl w:val="0"/>
          <w:numId w:val="15"/>
        </w:numPr>
        <w:ind w:firstLine="741" w:firstLineChars="309"/>
      </w:pPr>
      <w:r>
        <w:t>数采设备和控制柜的布置不应影响车辆、行人以及检修人员的通行；当数据采集</w:t>
      </w:r>
      <w:r>
        <w:rPr>
          <w:rFonts w:hint="eastAsia"/>
        </w:rPr>
        <w:t>机柜</w:t>
      </w:r>
      <w:r>
        <w:t>和控制柜布置在车行道或人行道上时，应设置有效的防撞措施</w:t>
      </w:r>
      <w:r>
        <w:rPr>
          <w:rFonts w:hint="eastAsia"/>
        </w:rPr>
        <w:t>。</w:t>
      </w:r>
    </w:p>
    <w:p>
      <w:pPr>
        <w:numPr>
          <w:ilvl w:val="0"/>
          <w:numId w:val="4"/>
        </w:numPr>
        <w:tabs>
          <w:tab w:val="left" w:pos="0"/>
          <w:tab w:val="clear" w:pos="420"/>
        </w:tabs>
        <w:ind w:firstLine="374" w:firstLineChars="0"/>
      </w:pPr>
      <w:r>
        <w:t>采集机柜</w:t>
      </w:r>
      <w:r>
        <w:rPr>
          <w:rFonts w:hint="eastAsia"/>
        </w:rPr>
        <w:t>的</w:t>
      </w:r>
      <w:r>
        <w:t>安装应符合下列规定：</w:t>
      </w:r>
    </w:p>
    <w:p>
      <w:pPr>
        <w:numPr>
          <w:ilvl w:val="0"/>
          <w:numId w:val="16"/>
        </w:numPr>
        <w:ind w:firstLine="741" w:firstLineChars="309"/>
      </w:pPr>
      <w:r>
        <w:rPr>
          <w:rFonts w:hint="eastAsia"/>
        </w:rPr>
        <w:t>机柜应牢固固定在基座上</w:t>
      </w:r>
      <w:r>
        <w:rPr>
          <w:rFonts w:hint="eastAsia"/>
          <w:lang w:eastAsia="zh-CN"/>
        </w:rPr>
        <w:t>，</w:t>
      </w:r>
      <w:r>
        <w:rPr>
          <w:rFonts w:hint="eastAsia"/>
        </w:rPr>
        <w:t>机柜</w:t>
      </w:r>
      <w:r>
        <w:rPr>
          <w:rFonts w:hint="eastAsia"/>
          <w:lang w:val="en-US" w:eastAsia="zh-CN"/>
        </w:rPr>
        <w:t>的</w:t>
      </w:r>
      <w:r>
        <w:t>安装位置与设计文件的偏差</w:t>
      </w:r>
      <w:r>
        <w:rPr>
          <w:rFonts w:hint="eastAsia"/>
        </w:rPr>
        <w:t>不应大于</w:t>
      </w:r>
      <w:r>
        <w:t>30mm；</w:t>
      </w:r>
    </w:p>
    <w:p>
      <w:pPr>
        <w:numPr>
          <w:ilvl w:val="0"/>
          <w:numId w:val="16"/>
        </w:numPr>
        <w:ind w:firstLine="741" w:firstLineChars="309"/>
      </w:pPr>
      <w:r>
        <w:rPr>
          <w:rFonts w:hint="eastAsia"/>
        </w:rPr>
        <w:t>机柜的安装应考虑开门方向和操作便利性，机柜的设备舱门和配线舱门应能完全开启</w:t>
      </w:r>
      <w:r>
        <w:rPr>
          <w:rFonts w:hint="eastAsia"/>
          <w:lang w:eastAsia="zh-CN"/>
        </w:rPr>
        <w:t>；</w:t>
      </w:r>
    </w:p>
    <w:p>
      <w:pPr>
        <w:numPr>
          <w:ilvl w:val="0"/>
          <w:numId w:val="16"/>
        </w:numPr>
        <w:ind w:firstLine="741" w:firstLineChars="309"/>
      </w:pPr>
      <w:r>
        <w:rPr>
          <w:rFonts w:hint="eastAsia"/>
        </w:rPr>
        <w:t>机柜进出线缆孔洞在线缆安装完毕后应采用防火胶泥封堵，并应做好防水和防潮处理</w:t>
      </w:r>
      <w:r>
        <w:rPr>
          <w:rFonts w:hint="eastAsia"/>
          <w:lang w:eastAsia="zh-CN"/>
        </w:rPr>
        <w:t>；</w:t>
      </w:r>
    </w:p>
    <w:p>
      <w:pPr>
        <w:numPr>
          <w:ilvl w:val="0"/>
          <w:numId w:val="16"/>
        </w:numPr>
        <w:ind w:firstLine="741" w:firstLineChars="309"/>
      </w:pPr>
      <w:r>
        <w:rPr>
          <w:rFonts w:hint="eastAsia"/>
        </w:rPr>
        <w:t>机柜</w:t>
      </w:r>
      <w:r>
        <w:t>安装垂直偏差度不应大于3mm，水平误差不应大于2mm；</w:t>
      </w:r>
    </w:p>
    <w:p>
      <w:pPr>
        <w:numPr>
          <w:ilvl w:val="0"/>
          <w:numId w:val="16"/>
        </w:numPr>
        <w:ind w:firstLine="741" w:firstLineChars="309"/>
      </w:pPr>
      <w:r>
        <w:rPr>
          <w:rFonts w:hint="eastAsia"/>
        </w:rPr>
        <w:t>机柜宜</w:t>
      </w:r>
      <w:r>
        <w:t xml:space="preserve">选用不锈钢材质，并具备防水、防尘和防盗功能； </w:t>
      </w:r>
    </w:p>
    <w:p>
      <w:pPr>
        <w:numPr>
          <w:ilvl w:val="0"/>
          <w:numId w:val="16"/>
        </w:numPr>
        <w:ind w:firstLine="741" w:firstLineChars="309"/>
      </w:pPr>
      <w:r>
        <w:t>桥墩上的</w:t>
      </w:r>
      <w:r>
        <w:rPr>
          <w:rFonts w:hint="eastAsia"/>
        </w:rPr>
        <w:t>机柜宜</w:t>
      </w:r>
      <w:r>
        <w:t xml:space="preserve">选用膨胀螺栓固定，膨胀螺栓选用适配，固定稳固； </w:t>
      </w:r>
    </w:p>
    <w:p>
      <w:pPr>
        <w:numPr>
          <w:ilvl w:val="0"/>
          <w:numId w:val="16"/>
        </w:numPr>
        <w:ind w:firstLine="741" w:firstLineChars="309"/>
      </w:pPr>
      <w:r>
        <w:rPr>
          <w:rFonts w:hint="eastAsia"/>
        </w:rPr>
        <w:t>机柜应</w:t>
      </w:r>
      <w:r>
        <w:t>进行接地处理，整体结构安装合理、美观</w:t>
      </w:r>
      <w:r>
        <w:rPr>
          <w:rFonts w:hint="eastAsia"/>
        </w:rPr>
        <w:t>；</w:t>
      </w:r>
      <w:r>
        <w:t xml:space="preserve"> </w:t>
      </w:r>
    </w:p>
    <w:p>
      <w:pPr>
        <w:numPr>
          <w:ilvl w:val="0"/>
          <w:numId w:val="16"/>
        </w:numPr>
        <w:ind w:firstLine="741" w:firstLineChars="309"/>
      </w:pPr>
      <w:r>
        <w:t>设备</w:t>
      </w:r>
      <w:r>
        <w:rPr>
          <w:rFonts w:hint="eastAsia"/>
        </w:rPr>
        <w:t>宜</w:t>
      </w:r>
      <w:r>
        <w:t>选用螺栓固定在</w:t>
      </w:r>
      <w:r>
        <w:rPr>
          <w:rFonts w:hint="eastAsia"/>
        </w:rPr>
        <w:t>机柜</w:t>
      </w:r>
      <w:r>
        <w:t>的背板上，固定稳固</w:t>
      </w:r>
      <w:r>
        <w:rPr>
          <w:rFonts w:hint="eastAsia"/>
        </w:rPr>
        <w:t>、</w:t>
      </w:r>
      <w:r>
        <w:t>无漏连、虚连现象</w:t>
      </w:r>
      <w:r>
        <w:rPr>
          <w:rFonts w:hint="eastAsia"/>
        </w:rPr>
        <w:t>；</w:t>
      </w:r>
      <w:r>
        <w:t xml:space="preserve"> </w:t>
      </w:r>
    </w:p>
    <w:p>
      <w:pPr>
        <w:numPr>
          <w:ilvl w:val="0"/>
          <w:numId w:val="16"/>
        </w:numPr>
        <w:ind w:firstLine="741" w:firstLineChars="309"/>
      </w:pPr>
      <w:r>
        <w:t>机柜</w:t>
      </w:r>
      <w:r>
        <w:rPr>
          <w:rFonts w:hint="eastAsia"/>
        </w:rPr>
        <w:t>内的</w:t>
      </w:r>
      <w:r>
        <w:t>设备布局</w:t>
      </w:r>
      <w:r>
        <w:rPr>
          <w:rFonts w:hint="eastAsia"/>
        </w:rPr>
        <w:t>宜</w:t>
      </w:r>
      <w:r>
        <w:t>合理、美观。</w:t>
      </w:r>
    </w:p>
    <w:p>
      <w:pPr>
        <w:numPr>
          <w:ilvl w:val="0"/>
          <w:numId w:val="4"/>
        </w:numPr>
        <w:tabs>
          <w:tab w:val="left" w:pos="0"/>
          <w:tab w:val="clear" w:pos="420"/>
        </w:tabs>
        <w:ind w:firstLine="374" w:firstLineChars="0"/>
      </w:pPr>
      <w:r>
        <w:rPr>
          <w:rFonts w:hint="eastAsia"/>
          <w:lang w:val="en-US" w:eastAsia="zh-CN"/>
        </w:rPr>
        <w:t>硬件的固定</w:t>
      </w:r>
      <w:r>
        <w:t>应符合下列规定：</w:t>
      </w:r>
    </w:p>
    <w:p>
      <w:pPr>
        <w:numPr>
          <w:ilvl w:val="0"/>
          <w:numId w:val="17"/>
        </w:numPr>
        <w:ind w:firstLine="741" w:firstLineChars="309"/>
      </w:pPr>
      <w:r>
        <w:rPr>
          <w:rFonts w:hint="eastAsia"/>
        </w:rPr>
        <w:t>硬件在安装固定前应进行检查、测试，</w:t>
      </w:r>
      <w:r>
        <w:rPr>
          <w:rFonts w:hint="eastAsia"/>
          <w:lang w:eastAsia="zh-CN"/>
        </w:rPr>
        <w:t>应</w:t>
      </w:r>
      <w:r>
        <w:rPr>
          <w:rFonts w:hint="eastAsia"/>
        </w:rPr>
        <w:t>满足设计文件的要求</w:t>
      </w:r>
      <w:r>
        <w:rPr>
          <w:rFonts w:hint="eastAsia"/>
          <w:lang w:eastAsia="zh-CN"/>
        </w:rPr>
        <w:t>；</w:t>
      </w:r>
    </w:p>
    <w:p>
      <w:pPr>
        <w:numPr>
          <w:ilvl w:val="0"/>
          <w:numId w:val="17"/>
        </w:numPr>
        <w:ind w:firstLine="741" w:firstLineChars="309"/>
        <w:rPr>
          <w:rFonts w:hint="eastAsia"/>
        </w:rPr>
      </w:pPr>
      <w:r>
        <w:rPr>
          <w:rFonts w:hint="eastAsia"/>
        </w:rPr>
        <w:t>当采用焊接方式固定时，焊接传导给硬件的最高温度应小于传感器允许的使用温度上限值；</w:t>
      </w:r>
    </w:p>
    <w:p>
      <w:pPr>
        <w:numPr>
          <w:ilvl w:val="0"/>
          <w:numId w:val="17"/>
        </w:numPr>
        <w:ind w:firstLine="741" w:firstLineChars="309"/>
        <w:rPr>
          <w:rFonts w:hint="eastAsia"/>
        </w:rPr>
      </w:pPr>
      <w:r>
        <w:rPr>
          <w:rFonts w:hint="eastAsia"/>
        </w:rPr>
        <w:t>当采用膨胀螺栓固定时，应按硬件技术要求选择螺栓规格；不应使用塑料胀塞或木楔固定；</w:t>
      </w:r>
    </w:p>
    <w:p>
      <w:pPr>
        <w:numPr>
          <w:ilvl w:val="0"/>
          <w:numId w:val="17"/>
        </w:numPr>
        <w:ind w:firstLine="741" w:firstLineChars="309"/>
        <w:rPr>
          <w:rFonts w:hint="eastAsia"/>
        </w:rPr>
      </w:pPr>
      <w:r>
        <w:rPr>
          <w:rFonts w:hint="eastAsia"/>
        </w:rPr>
        <w:t>紧固件应采用镀锌制品或与传感器配套的其他防锈制品；</w:t>
      </w:r>
    </w:p>
    <w:p>
      <w:pPr>
        <w:numPr>
          <w:ilvl w:val="0"/>
          <w:numId w:val="17"/>
        </w:numPr>
        <w:ind w:firstLine="741" w:firstLineChars="309"/>
      </w:pPr>
      <w:r>
        <w:rPr>
          <w:rFonts w:hint="eastAsia"/>
        </w:rPr>
        <w:t>固定硬件时，不应使硬件内部受到额外的应力。</w:t>
      </w:r>
    </w:p>
    <w:p>
      <w:pPr>
        <w:numPr>
          <w:ilvl w:val="0"/>
          <w:numId w:val="4"/>
        </w:numPr>
        <w:tabs>
          <w:tab w:val="left" w:pos="0"/>
          <w:tab w:val="clear" w:pos="420"/>
        </w:tabs>
        <w:ind w:firstLine="374" w:firstLineChars="0"/>
      </w:pPr>
      <w:r>
        <w:rPr>
          <w:rFonts w:hint="eastAsia"/>
          <w:lang w:val="en-US" w:eastAsia="zh-CN"/>
        </w:rPr>
        <w:t>硬件的外部接线</w:t>
      </w:r>
      <w:r>
        <w:t>应符合下列规定：</w:t>
      </w:r>
    </w:p>
    <w:p>
      <w:pPr>
        <w:numPr>
          <w:ilvl w:val="0"/>
          <w:numId w:val="18"/>
        </w:numPr>
        <w:ind w:firstLine="741" w:firstLineChars="309"/>
        <w:rPr>
          <w:rFonts w:hint="eastAsia"/>
        </w:rPr>
      </w:pPr>
      <w:r>
        <w:rPr>
          <w:rFonts w:hint="eastAsia"/>
        </w:rPr>
        <w:t xml:space="preserve"> 接线排列应整齐、美观，导线应绝缘良好、无损伤、标识应清晰；</w:t>
      </w:r>
    </w:p>
    <w:p>
      <w:pPr>
        <w:numPr>
          <w:ilvl w:val="0"/>
          <w:numId w:val="18"/>
        </w:numPr>
        <w:ind w:firstLine="741" w:firstLineChars="309"/>
        <w:rPr>
          <w:rFonts w:hint="eastAsia"/>
        </w:rPr>
      </w:pPr>
      <w:r>
        <w:rPr>
          <w:rFonts w:hint="eastAsia"/>
        </w:rPr>
        <w:t xml:space="preserve"> 固定接线的螺栓和螺钉应采用有金属防护层或铜质的制品；</w:t>
      </w:r>
    </w:p>
    <w:p>
      <w:pPr>
        <w:numPr>
          <w:ilvl w:val="0"/>
          <w:numId w:val="18"/>
        </w:numPr>
        <w:ind w:firstLine="741" w:firstLineChars="309"/>
        <w:rPr>
          <w:rFonts w:hint="eastAsia"/>
        </w:rPr>
      </w:pPr>
      <w:r>
        <w:rPr>
          <w:rFonts w:hint="eastAsia"/>
        </w:rPr>
        <w:t xml:space="preserve"> 接线的螺栓和螺钉应拧紧，拧紧力矩值应符合硬件技术文件的要求；</w:t>
      </w:r>
    </w:p>
    <w:p>
      <w:pPr>
        <w:numPr>
          <w:ilvl w:val="0"/>
          <w:numId w:val="18"/>
        </w:numPr>
        <w:ind w:firstLine="741" w:firstLineChars="309"/>
        <w:rPr>
          <w:rFonts w:hint="eastAsia"/>
        </w:rPr>
      </w:pPr>
      <w:r>
        <w:rPr>
          <w:rFonts w:hint="eastAsia"/>
        </w:rPr>
        <w:t xml:space="preserve"> 接线张紧程度应适中，不</w:t>
      </w:r>
      <w:r>
        <w:rPr>
          <w:rFonts w:hint="eastAsia"/>
          <w:lang w:val="en-US" w:eastAsia="zh-CN"/>
        </w:rPr>
        <w:t>应</w:t>
      </w:r>
      <w:r>
        <w:rPr>
          <w:rFonts w:hint="eastAsia"/>
        </w:rPr>
        <w:t>使硬件内部受到额外应力；</w:t>
      </w:r>
    </w:p>
    <w:p>
      <w:pPr>
        <w:numPr>
          <w:ilvl w:val="0"/>
          <w:numId w:val="18"/>
        </w:numPr>
        <w:ind w:firstLine="741" w:firstLineChars="309"/>
      </w:pPr>
      <w:r>
        <w:rPr>
          <w:rFonts w:hint="eastAsia"/>
        </w:rPr>
        <w:t xml:space="preserve"> 接线接头处宜有防水保护措施。</w:t>
      </w:r>
    </w:p>
    <w:p>
      <w:pPr>
        <w:pStyle w:val="4"/>
        <w:rPr>
          <w:color w:val="auto"/>
        </w:rPr>
      </w:pPr>
      <w:r>
        <w:rPr>
          <w:rFonts w:hint="eastAsia"/>
          <w:color w:val="auto"/>
        </w:rPr>
        <w:t>软件实施</w:t>
      </w:r>
      <w:r>
        <w:rPr>
          <w:rFonts w:hint="eastAsia"/>
          <w:color w:val="auto"/>
          <w:lang w:val="en-US" w:eastAsia="zh-CN"/>
        </w:rPr>
        <w:t>应符合下列规定</w:t>
      </w:r>
      <w:r>
        <w:rPr>
          <w:rFonts w:hint="eastAsia"/>
        </w:rPr>
        <w:t>：</w:t>
      </w:r>
    </w:p>
    <w:p>
      <w:pPr>
        <w:numPr>
          <w:ilvl w:val="0"/>
          <w:numId w:val="19"/>
        </w:numPr>
        <w:tabs>
          <w:tab w:val="left" w:pos="0"/>
          <w:tab w:val="clear" w:pos="420"/>
        </w:tabs>
        <w:ind w:firstLine="374" w:firstLineChars="0"/>
        <w:rPr>
          <w:color w:val="auto"/>
        </w:rPr>
      </w:pPr>
      <w:bookmarkStart w:id="36" w:name="_Toc42261117"/>
      <w:bookmarkStart w:id="37" w:name="_Toc42261334"/>
      <w:bookmarkStart w:id="38" w:name="_Toc26140152"/>
      <w:bookmarkStart w:id="39" w:name="_Toc530496005"/>
      <w:bookmarkStart w:id="40" w:name="_Toc530496542"/>
      <w:bookmarkStart w:id="41" w:name="_Toc15760813"/>
      <w:r>
        <w:rPr>
          <w:rFonts w:hint="eastAsia"/>
          <w:color w:val="auto"/>
        </w:rPr>
        <w:t>测试与部署</w:t>
      </w:r>
      <w:bookmarkEnd w:id="36"/>
      <w:bookmarkEnd w:id="37"/>
      <w:bookmarkEnd w:id="38"/>
      <w:bookmarkEnd w:id="39"/>
      <w:bookmarkEnd w:id="40"/>
      <w:bookmarkEnd w:id="41"/>
      <w:r>
        <w:rPr>
          <w:rFonts w:hint="eastAsia"/>
          <w:color w:val="auto"/>
        </w:rPr>
        <w:t>应符合下列规定</w:t>
      </w:r>
      <w:r>
        <w:rPr>
          <w:rFonts w:hint="eastAsia"/>
        </w:rPr>
        <w:t>：</w:t>
      </w:r>
    </w:p>
    <w:p>
      <w:pPr>
        <w:numPr>
          <w:ilvl w:val="0"/>
          <w:numId w:val="20"/>
        </w:numPr>
        <w:ind w:firstLine="741" w:firstLineChars="309"/>
      </w:pPr>
      <w:r>
        <w:rPr>
          <w:rFonts w:hint="eastAsia"/>
        </w:rPr>
        <w:t>软件开发完成后应由具备相关资质的软件测评单位进行软件测试，测试内容包含单元测试、功能测试、性能测试、集成测试等；</w:t>
      </w:r>
    </w:p>
    <w:p>
      <w:pPr>
        <w:numPr>
          <w:ilvl w:val="0"/>
          <w:numId w:val="20"/>
        </w:numPr>
        <w:ind w:firstLine="741" w:firstLineChars="309"/>
      </w:pPr>
      <w:r>
        <w:rPr>
          <w:rFonts w:hint="eastAsia"/>
        </w:rPr>
        <w:t>软件的单元测试、集成测试、配置项测试和系统测试应符合《计算机软件测试规范》GB/T15532和《计算机软件测试文档编制标准》GB/T 9386</w:t>
      </w:r>
      <w:r>
        <w:rPr>
          <w:rFonts w:hint="eastAsia"/>
          <w:lang w:eastAsia="zh-CN"/>
        </w:rPr>
        <w:t>的</w:t>
      </w:r>
      <w:r>
        <w:rPr>
          <w:rFonts w:hint="eastAsia"/>
        </w:rPr>
        <w:t>相关要求；</w:t>
      </w:r>
    </w:p>
    <w:p>
      <w:pPr>
        <w:numPr>
          <w:ilvl w:val="0"/>
          <w:numId w:val="20"/>
        </w:numPr>
        <w:ind w:firstLine="741" w:firstLineChars="309"/>
      </w:pPr>
      <w:r>
        <w:rPr>
          <w:rFonts w:hint="eastAsia"/>
        </w:rPr>
        <w:t>测评单位出具的《软件测试报告》应详细描述每个测试用例的测试结果，对于重大功能偏离、缺陷和逻辑错误，</w:t>
      </w:r>
      <w:r>
        <w:rPr>
          <w:rFonts w:hint="eastAsia"/>
          <w:lang w:val="en-US" w:eastAsia="zh-CN"/>
        </w:rPr>
        <w:t>应</w:t>
      </w:r>
      <w:r>
        <w:rPr>
          <w:rFonts w:hint="eastAsia"/>
        </w:rPr>
        <w:t>经开发单位修复完善后再次提交测试，最终测试通过率不应低于测试用例总数的95%；</w:t>
      </w:r>
    </w:p>
    <w:p>
      <w:pPr>
        <w:numPr>
          <w:ilvl w:val="0"/>
          <w:numId w:val="20"/>
        </w:numPr>
        <w:ind w:firstLine="741" w:firstLineChars="309"/>
      </w:pPr>
      <w:r>
        <w:rPr>
          <w:rFonts w:hint="eastAsia"/>
        </w:rPr>
        <w:t>应对数据采集、传输和存储模块进行强度测试，强度测试宜包括地震、船撞等极端条件下全桥所有传感器同步采集能力、数据传输量的饱和测试、超出规定存储量的数据存储能力、超过30%设计传感器数量的采集任务；</w:t>
      </w:r>
    </w:p>
    <w:p>
      <w:pPr>
        <w:numPr>
          <w:ilvl w:val="0"/>
          <w:numId w:val="20"/>
        </w:numPr>
        <w:ind w:firstLine="741" w:firstLineChars="309"/>
      </w:pPr>
      <w:r>
        <w:rPr>
          <w:rFonts w:hint="eastAsia"/>
        </w:rPr>
        <w:t>软件部署前应编制软件部署建设指南</w:t>
      </w:r>
      <w:r>
        <w:rPr>
          <w:rFonts w:hint="eastAsia"/>
          <w:lang w:eastAsia="zh-CN"/>
        </w:rPr>
        <w:t>；</w:t>
      </w:r>
    </w:p>
    <w:p>
      <w:pPr>
        <w:numPr>
          <w:ilvl w:val="0"/>
          <w:numId w:val="20"/>
        </w:numPr>
        <w:ind w:firstLine="741" w:firstLineChars="309"/>
      </w:pPr>
      <w:r>
        <w:rPr>
          <w:rFonts w:hint="eastAsia"/>
        </w:rPr>
        <w:t>软件现场部署前，服务器、工作站、工控机等硬件应安装完毕并接电稳定运行，数据中心网络、供电、通信、照明等应满足设计要求；</w:t>
      </w:r>
    </w:p>
    <w:p>
      <w:pPr>
        <w:numPr>
          <w:ilvl w:val="0"/>
          <w:numId w:val="20"/>
        </w:numPr>
        <w:ind w:firstLine="741" w:firstLineChars="309"/>
      </w:pPr>
      <w:r>
        <w:rPr>
          <w:rFonts w:hint="eastAsia"/>
        </w:rPr>
        <w:t>操作系统、应用组件、数据库等应用支撑软件的安装和配置应满足软件设计文件的要求；</w:t>
      </w:r>
    </w:p>
    <w:p>
      <w:pPr>
        <w:numPr>
          <w:ilvl w:val="0"/>
          <w:numId w:val="20"/>
        </w:numPr>
        <w:ind w:firstLine="741" w:firstLineChars="309"/>
      </w:pPr>
      <w:r>
        <w:rPr>
          <w:rFonts w:hint="eastAsia"/>
        </w:rPr>
        <w:t>软件安装和调试宜分步进行，软件部署完成后</w:t>
      </w:r>
      <w:r>
        <w:rPr>
          <w:rFonts w:hint="eastAsia"/>
          <w:lang w:val="en-US" w:eastAsia="zh-CN"/>
        </w:rPr>
        <w:t>应对</w:t>
      </w:r>
      <w:r>
        <w:rPr>
          <w:rFonts w:hint="eastAsia"/>
        </w:rPr>
        <w:t>桥梁现场、数据中心</w:t>
      </w:r>
      <w:r>
        <w:rPr>
          <w:rFonts w:hint="eastAsia"/>
          <w:lang w:val="en-US" w:eastAsia="zh-CN"/>
        </w:rPr>
        <w:t>的</w:t>
      </w:r>
      <w:r>
        <w:rPr>
          <w:rFonts w:hint="eastAsia"/>
        </w:rPr>
        <w:t>功能</w:t>
      </w:r>
      <w:r>
        <w:rPr>
          <w:rFonts w:hint="eastAsia"/>
          <w:lang w:val="en-US" w:eastAsia="zh-CN"/>
        </w:rPr>
        <w:t>同步</w:t>
      </w:r>
      <w:r>
        <w:rPr>
          <w:rFonts w:hint="eastAsia"/>
        </w:rPr>
        <w:t>确认；</w:t>
      </w:r>
    </w:p>
    <w:p>
      <w:pPr>
        <w:numPr>
          <w:ilvl w:val="0"/>
          <w:numId w:val="20"/>
        </w:numPr>
        <w:ind w:firstLine="741" w:firstLineChars="309"/>
      </w:pPr>
      <w:r>
        <w:rPr>
          <w:rFonts w:hint="eastAsia"/>
        </w:rPr>
        <w:t>软件缺陷导致无法部署时，应修改软件并测试通过后方可重新部署；</w:t>
      </w:r>
    </w:p>
    <w:p>
      <w:pPr>
        <w:numPr>
          <w:ilvl w:val="0"/>
          <w:numId w:val="20"/>
        </w:numPr>
        <w:ind w:firstLine="741" w:firstLineChars="309"/>
      </w:pPr>
      <w:r>
        <w:rPr>
          <w:rFonts w:hint="eastAsia"/>
        </w:rPr>
        <w:t>在软件部署后、系统调试未完成前，应采取临时措施防止未经培训人员操作软件；</w:t>
      </w:r>
    </w:p>
    <w:p>
      <w:pPr>
        <w:numPr>
          <w:ilvl w:val="0"/>
          <w:numId w:val="20"/>
        </w:numPr>
        <w:ind w:firstLine="741" w:firstLineChars="309"/>
      </w:pPr>
      <w:r>
        <w:rPr>
          <w:rFonts w:hint="eastAsia"/>
        </w:rPr>
        <w:t>监测软件部署后应形成的文档应包括：用户手册、软件操作手册、软件产品规格说明书、软件维护说明书。</w:t>
      </w:r>
    </w:p>
    <w:p>
      <w:pPr>
        <w:numPr>
          <w:ilvl w:val="0"/>
          <w:numId w:val="19"/>
        </w:numPr>
        <w:tabs>
          <w:tab w:val="left" w:pos="0"/>
          <w:tab w:val="clear" w:pos="420"/>
        </w:tabs>
        <w:ind w:firstLine="374" w:firstLineChars="0"/>
        <w:rPr>
          <w:color w:val="auto"/>
          <w:highlight w:val="none"/>
        </w:rPr>
      </w:pPr>
      <w:bookmarkStart w:id="42" w:name="_Toc15760814"/>
      <w:bookmarkStart w:id="43" w:name="_Toc530496006"/>
      <w:bookmarkStart w:id="44" w:name="_Toc530496543"/>
      <w:bookmarkStart w:id="45" w:name="_Toc42261118"/>
      <w:bookmarkStart w:id="46" w:name="_Toc42261335"/>
      <w:bookmarkStart w:id="47" w:name="_Toc26140153"/>
      <w:r>
        <w:rPr>
          <w:rFonts w:hint="eastAsia"/>
          <w:color w:val="auto"/>
          <w:highlight w:val="none"/>
        </w:rPr>
        <w:t>网络安全</w:t>
      </w:r>
      <w:bookmarkEnd w:id="42"/>
      <w:bookmarkEnd w:id="43"/>
      <w:bookmarkEnd w:id="44"/>
      <w:r>
        <w:rPr>
          <w:rFonts w:hint="eastAsia"/>
          <w:color w:val="auto"/>
          <w:highlight w:val="none"/>
        </w:rPr>
        <w:t>等级保护实施</w:t>
      </w:r>
      <w:bookmarkEnd w:id="45"/>
      <w:bookmarkEnd w:id="46"/>
      <w:bookmarkEnd w:id="47"/>
      <w:r>
        <w:rPr>
          <w:rFonts w:hint="eastAsia"/>
          <w:color w:val="auto"/>
          <w:highlight w:val="none"/>
        </w:rPr>
        <w:t>应符合下列规定</w:t>
      </w:r>
      <w:r>
        <w:rPr>
          <w:rFonts w:hint="eastAsia"/>
          <w:color w:val="auto"/>
          <w:highlight w:val="none"/>
          <w:lang w:eastAsia="zh-CN"/>
        </w:rPr>
        <w:t>：</w:t>
      </w:r>
    </w:p>
    <w:p>
      <w:pPr>
        <w:numPr>
          <w:ilvl w:val="0"/>
          <w:numId w:val="21"/>
        </w:numPr>
        <w:ind w:firstLine="741" w:firstLineChars="309"/>
      </w:pPr>
      <w:r>
        <w:rPr>
          <w:rFonts w:hint="eastAsia"/>
        </w:rPr>
        <w:t>网络安全等级保护应按保护对象划分等级，遵循自主保护、重点保护、同步建设、动态调整等原则按标准进行建设、管理和监督；</w:t>
      </w:r>
    </w:p>
    <w:p>
      <w:pPr>
        <w:numPr>
          <w:ilvl w:val="0"/>
          <w:numId w:val="21"/>
        </w:numPr>
        <w:ind w:firstLine="741" w:firstLineChars="309"/>
      </w:pPr>
      <w:r>
        <w:rPr>
          <w:rFonts w:hint="eastAsia"/>
        </w:rPr>
        <w:t>网络安全等级保护基本流程</w:t>
      </w:r>
      <w:r>
        <w:rPr>
          <w:rFonts w:hint="eastAsia"/>
          <w:lang w:val="en-US" w:eastAsia="zh-CN"/>
        </w:rPr>
        <w:t>应</w:t>
      </w:r>
      <w:r>
        <w:rPr>
          <w:rFonts w:hint="eastAsia"/>
        </w:rPr>
        <w:t>包括等级保护对象定级与备案阶段、总体安全规划阶段、安全设计与实施阶段、安全运行与维护阶段和定级对象终止阶段；</w:t>
      </w:r>
    </w:p>
    <w:p>
      <w:pPr>
        <w:numPr>
          <w:ilvl w:val="0"/>
          <w:numId w:val="21"/>
        </w:numPr>
        <w:ind w:firstLine="741" w:firstLineChars="309"/>
      </w:pPr>
      <w:r>
        <w:rPr>
          <w:rFonts w:hint="eastAsia"/>
        </w:rPr>
        <w:t>等级保护对象定级与备案阶段宜包括等级保护对象分析、安全保护等级确定、定级结果备案；</w:t>
      </w:r>
    </w:p>
    <w:p>
      <w:pPr>
        <w:numPr>
          <w:ilvl w:val="0"/>
          <w:numId w:val="21"/>
        </w:numPr>
        <w:ind w:firstLine="741" w:firstLineChars="309"/>
      </w:pPr>
      <w:r>
        <w:rPr>
          <w:rFonts w:hint="eastAsia"/>
        </w:rPr>
        <w:t>总体安全规划阶段宜包括安全总体需求分析、总体安全设计、安全建设项目规划；</w:t>
      </w:r>
    </w:p>
    <w:p>
      <w:pPr>
        <w:numPr>
          <w:ilvl w:val="0"/>
          <w:numId w:val="21"/>
        </w:numPr>
        <w:ind w:firstLine="741" w:firstLineChars="309"/>
      </w:pPr>
      <w:r>
        <w:rPr>
          <w:rFonts w:hint="eastAsia"/>
        </w:rPr>
        <w:t>安全设计与实施阶段宜包括安全方案详细设计，技术措施的实现、管理措施的实现；</w:t>
      </w:r>
    </w:p>
    <w:p>
      <w:pPr>
        <w:numPr>
          <w:ilvl w:val="0"/>
          <w:numId w:val="21"/>
        </w:numPr>
        <w:ind w:firstLine="741" w:firstLineChars="309"/>
      </w:pPr>
      <w:r>
        <w:rPr>
          <w:rFonts w:hint="eastAsia"/>
        </w:rPr>
        <w:t>安全运行与维护阶段宜包括安全运行管理和控制、变更管理和控制、安装状态监控、安全自查和持续改进、服务商管理和监控、等级测评、监督检查、应急响应与保障；</w:t>
      </w:r>
    </w:p>
    <w:p>
      <w:pPr>
        <w:numPr>
          <w:ilvl w:val="0"/>
          <w:numId w:val="21"/>
        </w:numPr>
        <w:ind w:firstLine="741" w:firstLineChars="309"/>
      </w:pPr>
      <w:r>
        <w:rPr>
          <w:rFonts w:hint="eastAsia"/>
        </w:rPr>
        <w:t>定级对象终止阶段宜包括信息转移、暂存和清除、设备迁移或废弃、存储介质清除或销毁。</w:t>
      </w:r>
    </w:p>
    <w:p>
      <w:pPr>
        <w:pStyle w:val="4"/>
        <w:rPr>
          <w:color w:val="auto"/>
        </w:rPr>
      </w:pPr>
      <w:bookmarkStart w:id="48" w:name="_Toc26140154"/>
      <w:bookmarkStart w:id="49" w:name="_Toc42261336"/>
      <w:bookmarkStart w:id="50" w:name="_Toc42261119"/>
      <w:bookmarkStart w:id="51" w:name="_Toc530496007"/>
      <w:bookmarkStart w:id="52" w:name="_Toc15760815"/>
      <w:bookmarkStart w:id="53" w:name="_Toc21607799"/>
      <w:bookmarkStart w:id="54" w:name="_Toc530496544"/>
      <w:r>
        <w:rPr>
          <w:rFonts w:hint="eastAsia"/>
          <w:color w:val="auto"/>
        </w:rPr>
        <w:t>系统调试与验证</w:t>
      </w:r>
      <w:bookmarkEnd w:id="48"/>
      <w:bookmarkEnd w:id="49"/>
      <w:bookmarkEnd w:id="50"/>
      <w:bookmarkEnd w:id="51"/>
      <w:bookmarkEnd w:id="52"/>
      <w:bookmarkEnd w:id="53"/>
      <w:bookmarkEnd w:id="54"/>
      <w:r>
        <w:rPr>
          <w:rFonts w:hint="eastAsia"/>
          <w:color w:val="auto"/>
        </w:rPr>
        <w:t>应符合下列规定</w:t>
      </w:r>
      <w:r>
        <w:rPr>
          <w:rFonts w:hint="eastAsia"/>
          <w:color w:val="auto"/>
          <w:highlight w:val="none"/>
          <w:lang w:eastAsia="zh-CN"/>
        </w:rPr>
        <w:t>：</w:t>
      </w:r>
    </w:p>
    <w:p>
      <w:pPr>
        <w:numPr>
          <w:ilvl w:val="0"/>
          <w:numId w:val="22"/>
        </w:numPr>
        <w:tabs>
          <w:tab w:val="left" w:pos="0"/>
          <w:tab w:val="clear" w:pos="420"/>
        </w:tabs>
        <w:ind w:firstLine="374" w:firstLineChars="0"/>
        <w:rPr>
          <w:color w:val="auto"/>
        </w:rPr>
      </w:pPr>
      <w:bookmarkStart w:id="55" w:name="_Toc42261338"/>
      <w:bookmarkStart w:id="56" w:name="_Toc530496009"/>
      <w:bookmarkStart w:id="57" w:name="_Toc26140156"/>
      <w:bookmarkStart w:id="58" w:name="_Toc15760817"/>
      <w:bookmarkStart w:id="59" w:name="_Toc530496546"/>
      <w:bookmarkStart w:id="60" w:name="_Toc42261121"/>
      <w:r>
        <w:rPr>
          <w:rFonts w:hint="eastAsia"/>
          <w:color w:val="auto"/>
        </w:rPr>
        <w:t>供电调试</w:t>
      </w:r>
      <w:bookmarkEnd w:id="55"/>
      <w:bookmarkEnd w:id="56"/>
      <w:bookmarkEnd w:id="57"/>
      <w:bookmarkEnd w:id="58"/>
      <w:bookmarkEnd w:id="59"/>
      <w:bookmarkEnd w:id="60"/>
      <w:r>
        <w:rPr>
          <w:rFonts w:hint="eastAsia"/>
          <w:color w:val="auto"/>
        </w:rPr>
        <w:t>应符合下列规定：</w:t>
      </w:r>
    </w:p>
    <w:p>
      <w:pPr>
        <w:numPr>
          <w:ilvl w:val="0"/>
          <w:numId w:val="23"/>
        </w:numPr>
        <w:ind w:firstLine="741" w:firstLineChars="309"/>
      </w:pPr>
      <w:r>
        <w:rPr>
          <w:rFonts w:hint="eastAsia"/>
        </w:rPr>
        <w:t>电源设备的带电部分与金属外壳之间的绝缘电阻应满足产品设计要求，当无设计要求时，用兆欧表测量时不应小于500MΩ；</w:t>
      </w:r>
    </w:p>
    <w:p>
      <w:pPr>
        <w:numPr>
          <w:ilvl w:val="0"/>
          <w:numId w:val="23"/>
        </w:numPr>
        <w:ind w:firstLine="741" w:firstLineChars="309"/>
        <w:rPr>
          <w:color w:val="auto"/>
          <w:highlight w:val="none"/>
        </w:rPr>
      </w:pPr>
      <w:r>
        <w:rPr>
          <w:rFonts w:hint="eastAsia"/>
          <w:color w:val="auto"/>
          <w:highlight w:val="none"/>
        </w:rPr>
        <w:t xml:space="preserve">市电220V电压波动不应超过±10%，当超过该范围时，应加装稳压设备； </w:t>
      </w:r>
    </w:p>
    <w:p>
      <w:pPr>
        <w:numPr>
          <w:ilvl w:val="0"/>
          <w:numId w:val="23"/>
        </w:numPr>
        <w:ind w:firstLine="741" w:firstLineChars="309"/>
      </w:pPr>
      <w:r>
        <w:rPr>
          <w:rFonts w:hint="eastAsia"/>
        </w:rPr>
        <w:t>60V以上的直流电源电压波动不应超过±10%，60V以下的直流电源电压波动不应超过±5%</w:t>
      </w:r>
      <w:r>
        <w:rPr>
          <w:rFonts w:hint="eastAsia"/>
          <w:lang w:eastAsia="zh-CN"/>
        </w:rPr>
        <w:t>；</w:t>
      </w:r>
    </w:p>
    <w:p>
      <w:pPr>
        <w:numPr>
          <w:ilvl w:val="0"/>
          <w:numId w:val="23"/>
        </w:numPr>
        <w:ind w:firstLine="741" w:firstLineChars="309"/>
      </w:pPr>
      <w:r>
        <w:rPr>
          <w:rFonts w:hint="eastAsia"/>
        </w:rPr>
        <w:t>不间断电源宜进行自行切换性能试验，切换时间和切换电压值应符合产品技术文件的规定</w:t>
      </w:r>
      <w:r>
        <w:rPr>
          <w:rFonts w:hint="eastAsia"/>
          <w:lang w:eastAsia="zh-CN"/>
        </w:rPr>
        <w:t>；</w:t>
      </w:r>
    </w:p>
    <w:p>
      <w:pPr>
        <w:numPr>
          <w:ilvl w:val="0"/>
          <w:numId w:val="23"/>
        </w:numPr>
        <w:ind w:firstLine="741" w:firstLineChars="309"/>
      </w:pPr>
      <w:r>
        <w:rPr>
          <w:rFonts w:hint="eastAsia"/>
        </w:rPr>
        <w:t>供电调试宜按附录A中表A.1中的要求进行验收。</w:t>
      </w:r>
    </w:p>
    <w:p>
      <w:pPr>
        <w:numPr>
          <w:ilvl w:val="0"/>
          <w:numId w:val="22"/>
        </w:numPr>
        <w:tabs>
          <w:tab w:val="left" w:pos="0"/>
          <w:tab w:val="clear" w:pos="420"/>
        </w:tabs>
        <w:ind w:firstLine="374" w:firstLineChars="0"/>
        <w:rPr>
          <w:color w:val="auto"/>
        </w:rPr>
      </w:pPr>
      <w:r>
        <w:rPr>
          <w:rFonts w:hint="eastAsia"/>
          <w:color w:val="auto"/>
        </w:rPr>
        <w:t>信号调试应符合下列规定</w:t>
      </w:r>
      <w:r>
        <w:rPr>
          <w:rFonts w:hint="eastAsia"/>
          <w:color w:val="auto"/>
          <w:lang w:eastAsia="zh-CN"/>
        </w:rPr>
        <w:t>：</w:t>
      </w:r>
    </w:p>
    <w:p>
      <w:pPr>
        <w:numPr>
          <w:ilvl w:val="0"/>
          <w:numId w:val="24"/>
        </w:numPr>
        <w:ind w:firstLine="741" w:firstLineChars="309"/>
        <w:rPr>
          <w:color w:val="auto"/>
        </w:rPr>
      </w:pPr>
      <w:r>
        <w:rPr>
          <w:rFonts w:hint="eastAsia"/>
          <w:color w:val="auto"/>
          <w:lang w:val="en-US" w:eastAsia="zh-CN"/>
        </w:rPr>
        <w:t>应</w:t>
      </w:r>
      <w:r>
        <w:rPr>
          <w:rFonts w:hint="eastAsia"/>
          <w:color w:val="auto"/>
        </w:rPr>
        <w:t>检查各传感器</w:t>
      </w:r>
      <w:r>
        <w:rPr>
          <w:rFonts w:hint="eastAsia"/>
          <w:color w:val="auto"/>
          <w:lang w:val="en-US" w:eastAsia="zh-CN"/>
        </w:rPr>
        <w:t>的技术指标</w:t>
      </w:r>
      <w:r>
        <w:rPr>
          <w:rFonts w:hint="eastAsia"/>
          <w:color w:val="auto"/>
        </w:rPr>
        <w:t>是否满足设计要求；</w:t>
      </w:r>
    </w:p>
    <w:p>
      <w:pPr>
        <w:numPr>
          <w:ilvl w:val="0"/>
          <w:numId w:val="24"/>
        </w:numPr>
        <w:ind w:firstLine="741" w:firstLineChars="309"/>
      </w:pPr>
      <w:r>
        <w:rPr>
          <w:rFonts w:hint="eastAsia"/>
        </w:rPr>
        <w:t>当设计要求多种采集策略时，应针对每种采集策略分别测试传感器能否正确返回测试信号；</w:t>
      </w:r>
    </w:p>
    <w:p>
      <w:pPr>
        <w:numPr>
          <w:ilvl w:val="0"/>
          <w:numId w:val="24"/>
        </w:numPr>
        <w:ind w:firstLine="741" w:firstLineChars="309"/>
      </w:pPr>
      <w:r>
        <w:rPr>
          <w:rFonts w:hint="eastAsia"/>
        </w:rPr>
        <w:t>单个传感器采集数据的响应时间应满足设计和产品技术文件的要求；</w:t>
      </w:r>
    </w:p>
    <w:p>
      <w:pPr>
        <w:numPr>
          <w:ilvl w:val="0"/>
          <w:numId w:val="24"/>
        </w:numPr>
        <w:ind w:firstLine="741" w:firstLineChars="309"/>
      </w:pPr>
      <w:r>
        <w:rPr>
          <w:rFonts w:hint="eastAsia"/>
        </w:rPr>
        <w:t>需要同步采集的传感器其同步精度应满足监测需要</w:t>
      </w:r>
      <w:r>
        <w:rPr>
          <w:rFonts w:hint="eastAsia"/>
          <w:lang w:eastAsia="zh-CN"/>
        </w:rPr>
        <w:t>；</w:t>
      </w:r>
    </w:p>
    <w:p>
      <w:pPr>
        <w:numPr>
          <w:ilvl w:val="0"/>
          <w:numId w:val="24"/>
        </w:numPr>
        <w:ind w:firstLine="741" w:firstLineChars="309"/>
        <w:rPr>
          <w:color w:val="auto"/>
        </w:rPr>
      </w:pPr>
      <w:r>
        <w:rPr>
          <w:rFonts w:hint="eastAsia"/>
          <w:color w:val="auto"/>
        </w:rPr>
        <w:t>信号调试宜按附录A中表A.2中的要求进行验收。</w:t>
      </w:r>
    </w:p>
    <w:p>
      <w:pPr>
        <w:numPr>
          <w:ilvl w:val="0"/>
          <w:numId w:val="22"/>
        </w:numPr>
        <w:tabs>
          <w:tab w:val="left" w:pos="0"/>
          <w:tab w:val="clear" w:pos="420"/>
        </w:tabs>
        <w:ind w:firstLine="374" w:firstLineChars="0"/>
        <w:rPr>
          <w:color w:val="auto"/>
        </w:rPr>
      </w:pPr>
      <w:r>
        <w:rPr>
          <w:rFonts w:hint="eastAsia"/>
          <w:color w:val="auto"/>
        </w:rPr>
        <w:t>数据调试应符合下列规定</w:t>
      </w:r>
      <w:r>
        <w:rPr>
          <w:rFonts w:hint="eastAsia"/>
          <w:color w:val="auto"/>
          <w:lang w:eastAsia="zh-CN"/>
        </w:rPr>
        <w:t>：</w:t>
      </w:r>
    </w:p>
    <w:p>
      <w:pPr>
        <w:numPr>
          <w:ilvl w:val="0"/>
          <w:numId w:val="25"/>
        </w:numPr>
        <w:ind w:firstLine="741" w:firstLineChars="309"/>
      </w:pPr>
      <w:r>
        <w:rPr>
          <w:rFonts w:hint="eastAsia"/>
        </w:rPr>
        <w:t>传感器的编号及数据在现场数据库及远程数据库中应完全对应；</w:t>
      </w:r>
    </w:p>
    <w:p>
      <w:pPr>
        <w:numPr>
          <w:ilvl w:val="0"/>
          <w:numId w:val="25"/>
        </w:numPr>
        <w:ind w:firstLine="741" w:firstLineChars="309"/>
      </w:pPr>
      <w:r>
        <w:rPr>
          <w:rFonts w:hint="eastAsia"/>
        </w:rPr>
        <w:t>传感器数据应与其物理位置对应；</w:t>
      </w:r>
    </w:p>
    <w:p>
      <w:pPr>
        <w:numPr>
          <w:ilvl w:val="0"/>
          <w:numId w:val="25"/>
        </w:numPr>
        <w:ind w:firstLine="741" w:firstLineChars="309"/>
      </w:pPr>
      <w:r>
        <w:rPr>
          <w:rFonts w:hint="eastAsia"/>
        </w:rPr>
        <w:t>数据存储精度不应</w:t>
      </w:r>
      <w:r>
        <w:rPr>
          <w:rFonts w:hint="eastAsia"/>
          <w:lang w:val="en-US" w:eastAsia="zh-CN"/>
        </w:rPr>
        <w:t>小于</w:t>
      </w:r>
      <w:r>
        <w:rPr>
          <w:rFonts w:hint="eastAsia"/>
        </w:rPr>
        <w:t>传感器的分辨率；</w:t>
      </w:r>
    </w:p>
    <w:p>
      <w:pPr>
        <w:numPr>
          <w:ilvl w:val="0"/>
          <w:numId w:val="25"/>
        </w:numPr>
        <w:ind w:firstLine="741" w:firstLineChars="309"/>
      </w:pPr>
      <w:r>
        <w:rPr>
          <w:rFonts w:hint="eastAsia"/>
        </w:rPr>
        <w:t>各传感器的测量数据不应超过传感器测量范围和设计文件规定的测量范围</w:t>
      </w:r>
      <w:r>
        <w:rPr>
          <w:rFonts w:hint="eastAsia"/>
          <w:lang w:eastAsia="zh-CN"/>
        </w:rPr>
        <w:t>；</w:t>
      </w:r>
    </w:p>
    <w:p>
      <w:pPr>
        <w:numPr>
          <w:ilvl w:val="0"/>
          <w:numId w:val="25"/>
        </w:numPr>
        <w:ind w:firstLine="741" w:firstLineChars="309"/>
      </w:pPr>
      <w:r>
        <w:rPr>
          <w:rFonts w:hint="eastAsia"/>
        </w:rPr>
        <w:t>信号调试宜按附录A中表A.3中的要求进行验收。</w:t>
      </w:r>
    </w:p>
    <w:p>
      <w:pPr>
        <w:numPr>
          <w:ilvl w:val="0"/>
          <w:numId w:val="22"/>
        </w:numPr>
        <w:tabs>
          <w:tab w:val="left" w:pos="0"/>
          <w:tab w:val="clear" w:pos="420"/>
        </w:tabs>
        <w:ind w:firstLine="374" w:firstLineChars="0"/>
        <w:rPr>
          <w:color w:val="auto"/>
        </w:rPr>
      </w:pPr>
      <w:bookmarkStart w:id="61" w:name="_Toc530496547"/>
      <w:bookmarkStart w:id="62" w:name="_Toc15760819"/>
      <w:bookmarkStart w:id="63" w:name="_Toc42261340"/>
      <w:bookmarkStart w:id="64" w:name="_Toc26140157"/>
      <w:bookmarkStart w:id="65" w:name="_Toc530496010"/>
      <w:bookmarkStart w:id="66" w:name="_Toc42261123"/>
      <w:r>
        <w:rPr>
          <w:rFonts w:hint="eastAsia"/>
          <w:color w:val="auto"/>
        </w:rPr>
        <w:t>联合调试</w:t>
      </w:r>
      <w:bookmarkEnd w:id="61"/>
      <w:bookmarkEnd w:id="62"/>
      <w:bookmarkEnd w:id="63"/>
      <w:bookmarkEnd w:id="64"/>
      <w:bookmarkEnd w:id="65"/>
      <w:bookmarkEnd w:id="66"/>
      <w:r>
        <w:rPr>
          <w:rFonts w:hint="eastAsia"/>
          <w:color w:val="auto"/>
        </w:rPr>
        <w:t>应符合下列规定</w:t>
      </w:r>
      <w:r>
        <w:rPr>
          <w:rFonts w:hint="eastAsia"/>
          <w:color w:val="auto"/>
          <w:lang w:eastAsia="zh-CN"/>
        </w:rPr>
        <w:t>：</w:t>
      </w:r>
    </w:p>
    <w:p>
      <w:pPr>
        <w:numPr>
          <w:ilvl w:val="0"/>
          <w:numId w:val="26"/>
        </w:numPr>
        <w:ind w:firstLine="741" w:firstLineChars="309"/>
      </w:pPr>
      <w:r>
        <w:rPr>
          <w:rFonts w:hint="eastAsia"/>
        </w:rPr>
        <w:t>城市桥梁结构安全监测系统的功能调试宜包括：自动和人工实现数据采集、传输和存储功能、数据显示、回放和统计功能、城市桥梁安全监测系统报警和预警功能、城市桥梁安全监测系统评估功能、设计文件要求的其他功能；</w:t>
      </w:r>
    </w:p>
    <w:p>
      <w:pPr>
        <w:numPr>
          <w:ilvl w:val="0"/>
          <w:numId w:val="26"/>
        </w:numPr>
        <w:ind w:firstLine="741" w:firstLineChars="309"/>
      </w:pPr>
      <w:r>
        <w:rPr>
          <w:rFonts w:hint="eastAsia"/>
        </w:rPr>
        <w:t>城市桥梁结构安全监测系统的时钟每月最大计时误</w:t>
      </w:r>
      <w:r>
        <w:rPr>
          <w:rFonts w:hint="eastAsia"/>
          <w:color w:val="auto"/>
        </w:rPr>
        <w:t>差</w:t>
      </w:r>
      <w:r>
        <w:rPr>
          <w:rFonts w:hint="eastAsia"/>
          <w:color w:val="auto"/>
          <w:lang w:val="en-US" w:eastAsia="zh-CN"/>
        </w:rPr>
        <w:t>应</w:t>
      </w:r>
      <w:r>
        <w:rPr>
          <w:rFonts w:hint="eastAsia"/>
          <w:color w:val="auto"/>
        </w:rPr>
        <w:t>小于</w:t>
      </w:r>
      <w:r>
        <w:rPr>
          <w:rFonts w:hint="eastAsia"/>
        </w:rPr>
        <w:t>5s；</w:t>
      </w:r>
    </w:p>
    <w:p>
      <w:pPr>
        <w:numPr>
          <w:ilvl w:val="0"/>
          <w:numId w:val="26"/>
        </w:numPr>
        <w:ind w:firstLine="741" w:firstLineChars="309"/>
        <w:rPr>
          <w:rFonts w:hint="eastAsia"/>
        </w:rPr>
      </w:pPr>
      <w:r>
        <w:rPr>
          <w:rFonts w:hint="eastAsia"/>
        </w:rPr>
        <w:t>联合调试完成后，用户界面软件各项功</w:t>
      </w:r>
      <w:r>
        <w:rPr>
          <w:rFonts w:hint="eastAsia"/>
          <w:lang w:val="en-US" w:eastAsia="zh-CN"/>
        </w:rPr>
        <w:t>能</w:t>
      </w:r>
      <w:r>
        <w:rPr>
          <w:rFonts w:hint="eastAsia"/>
        </w:rPr>
        <w:t>应正常，监测数据展示</w:t>
      </w:r>
      <w:r>
        <w:rPr>
          <w:rFonts w:hint="eastAsia"/>
          <w:color w:val="auto"/>
          <w:lang w:val="en-US" w:eastAsia="zh-CN"/>
        </w:rPr>
        <w:t>应</w:t>
      </w:r>
      <w:r>
        <w:rPr>
          <w:rFonts w:hint="eastAsia"/>
          <w:color w:val="auto"/>
        </w:rPr>
        <w:t>流畅准确</w:t>
      </w:r>
      <w:r>
        <w:rPr>
          <w:rFonts w:hint="eastAsia"/>
        </w:rPr>
        <w:t>，界面数据值、数据精度、数据单位与设计文件技术要求</w:t>
      </w:r>
      <w:r>
        <w:rPr>
          <w:rFonts w:hint="eastAsia"/>
          <w:lang w:val="en-US" w:eastAsia="zh-CN"/>
        </w:rPr>
        <w:t>应</w:t>
      </w:r>
      <w:r>
        <w:rPr>
          <w:rFonts w:hint="eastAsia"/>
        </w:rPr>
        <w:t>一致</w:t>
      </w:r>
      <w:r>
        <w:rPr>
          <w:rFonts w:hint="eastAsia"/>
          <w:lang w:eastAsia="zh-CN"/>
        </w:rPr>
        <w:t>；</w:t>
      </w:r>
    </w:p>
    <w:p>
      <w:pPr>
        <w:numPr>
          <w:ilvl w:val="0"/>
          <w:numId w:val="26"/>
        </w:numPr>
        <w:ind w:firstLine="741" w:firstLineChars="309"/>
      </w:pPr>
      <w:r>
        <w:rPr>
          <w:rFonts w:hint="eastAsia"/>
        </w:rPr>
        <w:t>联合调试宜按附录A中表A.4中的要求进行记录。</w:t>
      </w:r>
    </w:p>
    <w:p>
      <w:pPr>
        <w:numPr>
          <w:ilvl w:val="0"/>
          <w:numId w:val="22"/>
        </w:numPr>
        <w:tabs>
          <w:tab w:val="left" w:pos="0"/>
          <w:tab w:val="clear" w:pos="420"/>
        </w:tabs>
        <w:ind w:firstLine="374" w:firstLineChars="0"/>
        <w:rPr>
          <w:color w:val="auto"/>
        </w:rPr>
      </w:pPr>
      <w:bookmarkStart w:id="67" w:name="_Toc530496548"/>
      <w:bookmarkStart w:id="68" w:name="_Toc15760820"/>
      <w:bookmarkStart w:id="69" w:name="_Toc42261124"/>
      <w:bookmarkStart w:id="70" w:name="_Toc530496011"/>
      <w:bookmarkStart w:id="71" w:name="_Toc26140158"/>
      <w:bookmarkStart w:id="72" w:name="_Toc42261341"/>
      <w:r>
        <w:rPr>
          <w:rFonts w:hint="eastAsia"/>
          <w:color w:val="auto"/>
        </w:rPr>
        <w:t>系统验证</w:t>
      </w:r>
      <w:bookmarkEnd w:id="67"/>
      <w:bookmarkEnd w:id="68"/>
      <w:bookmarkEnd w:id="69"/>
      <w:bookmarkEnd w:id="70"/>
      <w:bookmarkEnd w:id="71"/>
      <w:bookmarkEnd w:id="72"/>
      <w:r>
        <w:rPr>
          <w:rFonts w:hint="eastAsia"/>
          <w:color w:val="auto"/>
        </w:rPr>
        <w:t>应符合下列规定</w:t>
      </w:r>
      <w:r>
        <w:rPr>
          <w:rFonts w:hint="eastAsia"/>
          <w:color w:val="auto"/>
          <w:lang w:eastAsia="zh-CN"/>
        </w:rPr>
        <w:t>：</w:t>
      </w:r>
    </w:p>
    <w:p>
      <w:pPr>
        <w:numPr>
          <w:ilvl w:val="0"/>
          <w:numId w:val="27"/>
        </w:numPr>
        <w:ind w:firstLine="741" w:firstLineChars="309"/>
      </w:pPr>
      <w:r>
        <w:rPr>
          <w:rFonts w:hint="eastAsia"/>
        </w:rPr>
        <w:t>系统验证抽样的传感器数量应满足设计文件的规定；</w:t>
      </w:r>
    </w:p>
    <w:p>
      <w:pPr>
        <w:numPr>
          <w:ilvl w:val="0"/>
          <w:numId w:val="27"/>
        </w:numPr>
        <w:ind w:firstLine="741" w:firstLineChars="309"/>
      </w:pPr>
      <w:r>
        <w:rPr>
          <w:rFonts w:hint="eastAsia"/>
        </w:rPr>
        <w:t>对可采用参考计量仪器进行验证的被测参量，系统实测数据与同时、同条件人工测量数据的偏差应符合</w:t>
      </w:r>
      <w:r>
        <w:rPr>
          <w:rFonts w:hint="eastAsia" w:ascii="宋体" w:cs="Times New Roman"/>
          <w:kern w:val="0"/>
        </w:rPr>
        <w:t>表5.2.3</w:t>
      </w:r>
      <w:r>
        <w:rPr>
          <w:rFonts w:hint="eastAsia"/>
        </w:rPr>
        <w:t>的规定；</w:t>
      </w:r>
    </w:p>
    <w:p>
      <w:pPr>
        <w:ind w:firstLine="480"/>
        <w:jc w:val="center"/>
        <w:rPr>
          <w:rFonts w:ascii="宋体" w:cs="Times New Roman"/>
          <w:kern w:val="0"/>
        </w:rPr>
      </w:pPr>
      <w:r>
        <w:rPr>
          <w:rFonts w:hint="eastAsia" w:ascii="宋体" w:cs="Times New Roman"/>
          <w:kern w:val="0"/>
        </w:rPr>
        <w:t>表5.2.3 传感器验证允许偏差表</w:t>
      </w:r>
    </w:p>
    <w:tbl>
      <w:tblPr>
        <w:tblStyle w:val="23"/>
        <w:tblW w:w="834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70"/>
        <w:gridCol w:w="1107"/>
        <w:gridCol w:w="1171"/>
        <w:gridCol w:w="1415"/>
        <w:gridCol w:w="1341"/>
        <w:gridCol w:w="14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1870" w:type="dxa"/>
            <w:vAlign w:val="center"/>
          </w:tcPr>
          <w:p>
            <w:pPr>
              <w:spacing w:line="240" w:lineRule="auto"/>
              <w:ind w:firstLine="0" w:firstLineChars="0"/>
              <w:jc w:val="center"/>
              <w:rPr>
                <w:sz w:val="22"/>
                <w:szCs w:val="32"/>
              </w:rPr>
            </w:pPr>
            <w:r>
              <w:rPr>
                <w:rFonts w:hint="eastAsia"/>
                <w:sz w:val="22"/>
                <w:szCs w:val="32"/>
              </w:rPr>
              <w:t>类型</w:t>
            </w:r>
          </w:p>
        </w:tc>
        <w:tc>
          <w:tcPr>
            <w:tcW w:w="1107" w:type="dxa"/>
            <w:vAlign w:val="center"/>
          </w:tcPr>
          <w:p>
            <w:pPr>
              <w:spacing w:line="240" w:lineRule="auto"/>
              <w:ind w:firstLine="0" w:firstLineChars="0"/>
              <w:jc w:val="center"/>
              <w:rPr>
                <w:sz w:val="22"/>
                <w:szCs w:val="32"/>
              </w:rPr>
            </w:pPr>
            <w:r>
              <w:rPr>
                <w:rFonts w:hint="eastAsia"/>
                <w:sz w:val="22"/>
                <w:szCs w:val="32"/>
              </w:rPr>
              <w:t>温度</w:t>
            </w:r>
          </w:p>
        </w:tc>
        <w:tc>
          <w:tcPr>
            <w:tcW w:w="1171" w:type="dxa"/>
            <w:vAlign w:val="center"/>
          </w:tcPr>
          <w:p>
            <w:pPr>
              <w:spacing w:line="240" w:lineRule="auto"/>
              <w:ind w:firstLine="0" w:firstLineChars="0"/>
              <w:jc w:val="center"/>
              <w:rPr>
                <w:sz w:val="22"/>
                <w:szCs w:val="32"/>
              </w:rPr>
            </w:pPr>
            <w:r>
              <w:rPr>
                <w:rFonts w:hint="eastAsia"/>
                <w:sz w:val="22"/>
                <w:szCs w:val="32"/>
              </w:rPr>
              <w:t>湿度</w:t>
            </w:r>
          </w:p>
        </w:tc>
        <w:tc>
          <w:tcPr>
            <w:tcW w:w="1415" w:type="dxa"/>
            <w:vAlign w:val="center"/>
          </w:tcPr>
          <w:p>
            <w:pPr>
              <w:spacing w:line="240" w:lineRule="auto"/>
              <w:ind w:firstLine="0" w:firstLineChars="0"/>
              <w:jc w:val="center"/>
              <w:rPr>
                <w:sz w:val="22"/>
                <w:szCs w:val="32"/>
              </w:rPr>
            </w:pPr>
            <w:r>
              <w:rPr>
                <w:rFonts w:hint="eastAsia"/>
                <w:sz w:val="22"/>
                <w:szCs w:val="32"/>
              </w:rPr>
              <w:t>应变</w:t>
            </w:r>
          </w:p>
        </w:tc>
        <w:tc>
          <w:tcPr>
            <w:tcW w:w="1341" w:type="dxa"/>
            <w:vAlign w:val="center"/>
          </w:tcPr>
          <w:p>
            <w:pPr>
              <w:spacing w:line="240" w:lineRule="auto"/>
              <w:ind w:firstLine="0" w:firstLineChars="0"/>
              <w:jc w:val="center"/>
              <w:rPr>
                <w:sz w:val="22"/>
                <w:szCs w:val="32"/>
              </w:rPr>
            </w:pPr>
            <w:r>
              <w:rPr>
                <w:rFonts w:hint="eastAsia"/>
                <w:sz w:val="22"/>
                <w:szCs w:val="32"/>
              </w:rPr>
              <w:t>挠度</w:t>
            </w:r>
          </w:p>
        </w:tc>
        <w:tc>
          <w:tcPr>
            <w:tcW w:w="1445" w:type="dxa"/>
            <w:vAlign w:val="center"/>
          </w:tcPr>
          <w:p>
            <w:pPr>
              <w:spacing w:line="240" w:lineRule="auto"/>
              <w:ind w:firstLine="0" w:firstLineChars="0"/>
              <w:jc w:val="center"/>
              <w:rPr>
                <w:sz w:val="22"/>
                <w:szCs w:val="32"/>
              </w:rPr>
            </w:pPr>
            <w:r>
              <w:rPr>
                <w:rFonts w:hint="eastAsia"/>
                <w:sz w:val="22"/>
                <w:szCs w:val="32"/>
              </w:rPr>
              <w:t>固有基频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1870" w:type="dxa"/>
            <w:vAlign w:val="center"/>
          </w:tcPr>
          <w:p>
            <w:pPr>
              <w:spacing w:line="240" w:lineRule="auto"/>
              <w:ind w:firstLine="0" w:firstLineChars="0"/>
              <w:jc w:val="center"/>
              <w:rPr>
                <w:sz w:val="22"/>
                <w:szCs w:val="32"/>
              </w:rPr>
            </w:pPr>
            <w:r>
              <w:rPr>
                <w:rFonts w:hint="eastAsia"/>
                <w:sz w:val="22"/>
                <w:szCs w:val="32"/>
              </w:rPr>
              <w:t>允许最大偏差</w:t>
            </w:r>
          </w:p>
        </w:tc>
        <w:tc>
          <w:tcPr>
            <w:tcW w:w="1107" w:type="dxa"/>
            <w:vAlign w:val="center"/>
          </w:tcPr>
          <w:p>
            <w:pPr>
              <w:spacing w:line="240" w:lineRule="auto"/>
              <w:ind w:firstLine="0" w:firstLineChars="0"/>
              <w:jc w:val="center"/>
              <w:rPr>
                <w:sz w:val="22"/>
                <w:szCs w:val="32"/>
              </w:rPr>
            </w:pPr>
            <w:r>
              <w:rPr>
                <w:sz w:val="22"/>
                <w:szCs w:val="32"/>
              </w:rPr>
              <w:t>±</w:t>
            </w:r>
            <w:r>
              <w:rPr>
                <w:rFonts w:hint="eastAsia"/>
                <w:sz w:val="22"/>
                <w:szCs w:val="32"/>
              </w:rPr>
              <w:t>0.5℃</w:t>
            </w:r>
          </w:p>
        </w:tc>
        <w:tc>
          <w:tcPr>
            <w:tcW w:w="1171" w:type="dxa"/>
            <w:vAlign w:val="center"/>
          </w:tcPr>
          <w:p>
            <w:pPr>
              <w:spacing w:line="240" w:lineRule="auto"/>
              <w:ind w:firstLine="0" w:firstLineChars="0"/>
              <w:jc w:val="center"/>
              <w:rPr>
                <w:sz w:val="22"/>
                <w:szCs w:val="32"/>
              </w:rPr>
            </w:pPr>
            <w:r>
              <w:rPr>
                <w:sz w:val="22"/>
                <w:szCs w:val="32"/>
              </w:rPr>
              <w:t>±</w:t>
            </w:r>
            <w:r>
              <w:rPr>
                <w:rFonts w:hint="eastAsia"/>
                <w:sz w:val="22"/>
                <w:szCs w:val="32"/>
              </w:rPr>
              <w:t>5%</w:t>
            </w:r>
          </w:p>
        </w:tc>
        <w:tc>
          <w:tcPr>
            <w:tcW w:w="1415" w:type="dxa"/>
            <w:vAlign w:val="center"/>
          </w:tcPr>
          <w:p>
            <w:pPr>
              <w:spacing w:line="240" w:lineRule="auto"/>
              <w:ind w:firstLine="0" w:firstLineChars="0"/>
              <w:jc w:val="center"/>
              <w:rPr>
                <w:sz w:val="22"/>
                <w:szCs w:val="32"/>
                <w:lang w:bidi="ar"/>
              </w:rPr>
            </w:pPr>
            <w:r>
              <w:rPr>
                <w:sz w:val="22"/>
                <w:szCs w:val="32"/>
              </w:rPr>
              <w:t>±</w:t>
            </w:r>
            <w:r>
              <w:rPr>
                <w:sz w:val="22"/>
                <w:szCs w:val="32"/>
                <w:lang w:bidi="ar"/>
              </w:rPr>
              <w:t>3με</w:t>
            </w:r>
          </w:p>
        </w:tc>
        <w:tc>
          <w:tcPr>
            <w:tcW w:w="1341" w:type="dxa"/>
            <w:vAlign w:val="center"/>
          </w:tcPr>
          <w:p>
            <w:pPr>
              <w:spacing w:line="240" w:lineRule="auto"/>
              <w:ind w:firstLine="0" w:firstLineChars="0"/>
              <w:jc w:val="center"/>
              <w:rPr>
                <w:sz w:val="22"/>
                <w:szCs w:val="32"/>
              </w:rPr>
            </w:pPr>
            <w:r>
              <w:rPr>
                <w:sz w:val="22"/>
                <w:szCs w:val="32"/>
              </w:rPr>
              <w:t>±</w:t>
            </w:r>
            <w:r>
              <w:rPr>
                <w:rFonts w:hint="eastAsia"/>
                <w:sz w:val="22"/>
                <w:szCs w:val="32"/>
              </w:rPr>
              <w:t>1mm</w:t>
            </w:r>
          </w:p>
        </w:tc>
        <w:tc>
          <w:tcPr>
            <w:tcW w:w="1445" w:type="dxa"/>
            <w:vAlign w:val="center"/>
          </w:tcPr>
          <w:p>
            <w:pPr>
              <w:spacing w:line="240" w:lineRule="auto"/>
              <w:ind w:firstLine="0" w:firstLineChars="0"/>
              <w:jc w:val="center"/>
              <w:rPr>
                <w:sz w:val="22"/>
                <w:szCs w:val="32"/>
              </w:rPr>
            </w:pPr>
            <w:r>
              <w:rPr>
                <w:sz w:val="22"/>
                <w:szCs w:val="32"/>
              </w:rPr>
              <w:t>±</w:t>
            </w:r>
            <w:r>
              <w:rPr>
                <w:rFonts w:hint="eastAsia"/>
                <w:sz w:val="22"/>
                <w:szCs w:val="32"/>
              </w:rPr>
              <w:t>0.2Hz</w:t>
            </w:r>
          </w:p>
        </w:tc>
      </w:tr>
    </w:tbl>
    <w:p>
      <w:pPr>
        <w:numPr>
          <w:ilvl w:val="0"/>
          <w:numId w:val="27"/>
        </w:numPr>
        <w:ind w:firstLine="741" w:firstLineChars="309"/>
      </w:pPr>
      <w:r>
        <w:rPr>
          <w:rFonts w:hint="eastAsia"/>
        </w:rPr>
        <w:t>对可采用参考计量仪器进行验证的被测参量，系统实测数据与同时同条件人工比测数据的偏差应小于抽样传感器测量精度的3倍；</w:t>
      </w:r>
    </w:p>
    <w:p>
      <w:pPr>
        <w:numPr>
          <w:ilvl w:val="0"/>
          <w:numId w:val="27"/>
        </w:numPr>
        <w:ind w:firstLine="741" w:firstLineChars="309"/>
      </w:pPr>
      <w:r>
        <w:rPr>
          <w:rFonts w:hint="eastAsia"/>
        </w:rPr>
        <w:t>连通管式挠度测量子系统应按传感器满量程的30%、50%、80%进行加减水试验3次，相邻传感器的平均偏差应小于传感器精度的3倍；</w:t>
      </w:r>
    </w:p>
    <w:p>
      <w:pPr>
        <w:numPr>
          <w:ilvl w:val="0"/>
          <w:numId w:val="27"/>
        </w:numPr>
        <w:ind w:firstLine="741" w:firstLineChars="309"/>
      </w:pPr>
      <w:r>
        <w:rPr>
          <w:rFonts w:hint="eastAsia"/>
        </w:rPr>
        <w:t>在同等测试条件下，各加速度传感器通道所得结构基频之间的误差应小于传感器频率分辨率的3倍；</w:t>
      </w:r>
    </w:p>
    <w:p>
      <w:pPr>
        <w:numPr>
          <w:ilvl w:val="0"/>
          <w:numId w:val="27"/>
        </w:numPr>
        <w:ind w:firstLine="741" w:firstLineChars="309"/>
      </w:pPr>
      <w:r>
        <w:rPr>
          <w:rFonts w:hint="eastAsia"/>
        </w:rPr>
        <w:t>系统安装完成后，可采用车辆实施加载试验对系统进行验证；</w:t>
      </w:r>
    </w:p>
    <w:p>
      <w:pPr>
        <w:numPr>
          <w:ilvl w:val="0"/>
          <w:numId w:val="27"/>
        </w:numPr>
        <w:ind w:firstLine="741" w:firstLineChars="309"/>
        <w:rPr>
          <w:color w:val="auto"/>
          <w:highlight w:val="none"/>
        </w:rPr>
      </w:pPr>
      <w:r>
        <w:rPr>
          <w:rFonts w:hint="eastAsia"/>
          <w:color w:val="auto"/>
          <w:highlight w:val="none"/>
        </w:rPr>
        <w:t>动态称重传感器的现场验证方法和偏差</w:t>
      </w:r>
      <w:r>
        <w:rPr>
          <w:rFonts w:hint="eastAsia"/>
          <w:color w:val="auto"/>
          <w:highlight w:val="none"/>
          <w:lang w:val="en-US" w:eastAsia="zh-CN"/>
        </w:rPr>
        <w:t>应按</w:t>
      </w:r>
      <w:r>
        <w:rPr>
          <w:rFonts w:hint="eastAsia"/>
          <w:color w:val="auto"/>
          <w:highlight w:val="none"/>
        </w:rPr>
        <w:t>《动态公路车辆自动衡器》GB/T 21296</w:t>
      </w:r>
      <w:r>
        <w:rPr>
          <w:rFonts w:hint="eastAsia"/>
          <w:color w:val="auto"/>
          <w:highlight w:val="none"/>
          <w:lang w:val="en-US" w:eastAsia="zh-CN"/>
        </w:rPr>
        <w:t>执行</w:t>
      </w:r>
      <w:r>
        <w:rPr>
          <w:rFonts w:hint="eastAsia"/>
          <w:color w:val="auto"/>
          <w:highlight w:val="none"/>
        </w:rPr>
        <w:t>，设备性能指标应满足设计要求；</w:t>
      </w:r>
    </w:p>
    <w:p>
      <w:pPr>
        <w:numPr>
          <w:ilvl w:val="0"/>
          <w:numId w:val="27"/>
        </w:numPr>
        <w:ind w:firstLine="741" w:firstLineChars="309"/>
      </w:pPr>
      <w:r>
        <w:rPr>
          <w:rFonts w:hint="eastAsia"/>
        </w:rPr>
        <w:t>在相同截面处，城市桥梁定期观测位移与监测系统位移测试的变化趋势应吻合。</w:t>
      </w:r>
    </w:p>
    <w:p>
      <w:pPr>
        <w:pStyle w:val="4"/>
        <w:rPr>
          <w:color w:val="auto"/>
        </w:rPr>
      </w:pPr>
      <w:bookmarkStart w:id="73" w:name="_Toc26140159"/>
      <w:bookmarkStart w:id="74" w:name="_Toc42261342"/>
      <w:bookmarkStart w:id="75" w:name="_Toc15760821"/>
      <w:bookmarkStart w:id="76" w:name="_Toc21607800"/>
      <w:bookmarkStart w:id="77" w:name="_Toc530496012"/>
      <w:bookmarkStart w:id="78" w:name="_Toc42261125"/>
      <w:bookmarkStart w:id="79" w:name="_Toc530496549"/>
      <w:r>
        <w:rPr>
          <w:rFonts w:hint="eastAsia"/>
          <w:color w:val="auto"/>
        </w:rPr>
        <w:t>验收要求与评分办法</w:t>
      </w:r>
      <w:bookmarkEnd w:id="73"/>
      <w:bookmarkEnd w:id="74"/>
      <w:bookmarkEnd w:id="75"/>
      <w:bookmarkEnd w:id="76"/>
      <w:bookmarkEnd w:id="77"/>
      <w:bookmarkEnd w:id="78"/>
      <w:bookmarkEnd w:id="79"/>
      <w:r>
        <w:rPr>
          <w:rFonts w:hint="eastAsia"/>
          <w:color w:val="auto"/>
        </w:rPr>
        <w:t>应符合下列规定</w:t>
      </w:r>
      <w:r>
        <w:rPr>
          <w:rFonts w:hint="eastAsia"/>
          <w:color w:val="auto"/>
          <w:lang w:eastAsia="zh-CN"/>
        </w:rPr>
        <w:t>：</w:t>
      </w:r>
    </w:p>
    <w:p>
      <w:pPr>
        <w:numPr>
          <w:ilvl w:val="0"/>
          <w:numId w:val="28"/>
        </w:numPr>
        <w:tabs>
          <w:tab w:val="left" w:pos="0"/>
          <w:tab w:val="clear" w:pos="420"/>
        </w:tabs>
        <w:ind w:firstLine="374" w:firstLineChars="0"/>
      </w:pPr>
      <w:r>
        <w:rPr>
          <w:rFonts w:hint="eastAsia"/>
          <w:color w:val="auto"/>
        </w:rPr>
        <w:t>分</w:t>
      </w:r>
      <w:r>
        <w:rPr>
          <w:rFonts w:hint="eastAsia"/>
          <w:color w:val="auto"/>
          <w:lang w:val="en-US" w:eastAsia="zh-CN"/>
        </w:rPr>
        <w:t>项</w:t>
      </w:r>
      <w:r>
        <w:rPr>
          <w:rFonts w:hint="eastAsia"/>
          <w:color w:val="auto"/>
        </w:rPr>
        <w:t>工程验收要求应符合下列规定</w:t>
      </w:r>
      <w:r>
        <w:rPr>
          <w:rFonts w:hint="eastAsia"/>
          <w:color w:val="auto"/>
          <w:lang w:eastAsia="zh-CN"/>
        </w:rPr>
        <w:t>：</w:t>
      </w:r>
    </w:p>
    <w:p>
      <w:pPr>
        <w:numPr>
          <w:ilvl w:val="0"/>
          <w:numId w:val="29"/>
        </w:numPr>
        <w:ind w:firstLine="741" w:firstLineChars="309"/>
      </w:pPr>
      <w:r>
        <w:rPr>
          <w:rFonts w:hint="eastAsia"/>
        </w:rPr>
        <w:t>分项工程内设备安装完成，符合设计文件和本规范的规定时，可向监理和业主提交书面申请进行分部分项验收；</w:t>
      </w:r>
    </w:p>
    <w:p>
      <w:pPr>
        <w:numPr>
          <w:ilvl w:val="0"/>
          <w:numId w:val="29"/>
        </w:numPr>
        <w:ind w:firstLine="741" w:firstLineChars="309"/>
      </w:pPr>
      <w:r>
        <w:rPr>
          <w:rFonts w:hint="eastAsia"/>
        </w:rPr>
        <w:t>分项工程验收时，应提交文件包括安装和质量检查记录、隐蔽工程记录、硬件和材料的产品质量合格证明。</w:t>
      </w:r>
    </w:p>
    <w:p>
      <w:pPr>
        <w:numPr>
          <w:ilvl w:val="0"/>
          <w:numId w:val="28"/>
        </w:numPr>
        <w:tabs>
          <w:tab w:val="left" w:pos="0"/>
          <w:tab w:val="clear" w:pos="420"/>
        </w:tabs>
        <w:ind w:firstLine="374" w:firstLineChars="0"/>
        <w:rPr>
          <w:color w:val="auto"/>
        </w:rPr>
      </w:pPr>
      <w:bookmarkStart w:id="80" w:name="_Toc26140161"/>
      <w:bookmarkStart w:id="81" w:name="_Toc42261127"/>
      <w:bookmarkStart w:id="82" w:name="_Toc530496014"/>
      <w:bookmarkStart w:id="83" w:name="_Toc42261344"/>
      <w:bookmarkStart w:id="84" w:name="_Toc15760823"/>
      <w:bookmarkStart w:id="85" w:name="_Toc530496551"/>
      <w:r>
        <w:rPr>
          <w:rFonts w:hint="eastAsia"/>
          <w:color w:val="auto"/>
        </w:rPr>
        <w:t>分部工程验收要求</w:t>
      </w:r>
      <w:bookmarkEnd w:id="80"/>
      <w:bookmarkEnd w:id="81"/>
      <w:bookmarkEnd w:id="82"/>
      <w:bookmarkEnd w:id="83"/>
      <w:bookmarkEnd w:id="84"/>
      <w:bookmarkEnd w:id="85"/>
      <w:r>
        <w:rPr>
          <w:rFonts w:hint="eastAsia"/>
          <w:color w:val="auto"/>
        </w:rPr>
        <w:t>应符合下列规定</w:t>
      </w:r>
      <w:r>
        <w:rPr>
          <w:rFonts w:hint="eastAsia"/>
          <w:color w:val="auto"/>
          <w:lang w:eastAsia="zh-CN"/>
        </w:rPr>
        <w:t>：</w:t>
      </w:r>
    </w:p>
    <w:p>
      <w:pPr>
        <w:numPr>
          <w:ilvl w:val="0"/>
          <w:numId w:val="30"/>
        </w:numPr>
        <w:ind w:firstLine="741" w:firstLineChars="309"/>
      </w:pPr>
      <w:r>
        <w:rPr>
          <w:rFonts w:hint="eastAsia"/>
        </w:rPr>
        <w:t>文件范围内传感器安装、线缆敷设以及软件部署完毕，监控机房安装完成后，可向监理和业主申请分部工程验收；</w:t>
      </w:r>
    </w:p>
    <w:p>
      <w:pPr>
        <w:numPr>
          <w:ilvl w:val="0"/>
          <w:numId w:val="30"/>
        </w:numPr>
        <w:ind w:firstLine="741" w:firstLineChars="309"/>
      </w:pPr>
      <w:r>
        <w:rPr>
          <w:rFonts w:hint="eastAsia"/>
        </w:rPr>
        <w:t>分部工程验收时，应提交文件包括分项验收所提交资料、调试试验记录、硬件清单、软件清单。</w:t>
      </w:r>
    </w:p>
    <w:p>
      <w:pPr>
        <w:numPr>
          <w:ilvl w:val="0"/>
          <w:numId w:val="28"/>
        </w:numPr>
        <w:tabs>
          <w:tab w:val="left" w:pos="0"/>
          <w:tab w:val="clear" w:pos="420"/>
        </w:tabs>
        <w:ind w:firstLine="374" w:firstLineChars="0"/>
        <w:rPr>
          <w:color w:val="auto"/>
        </w:rPr>
      </w:pPr>
      <w:bookmarkStart w:id="86" w:name="_Toc42261345"/>
      <w:bookmarkStart w:id="87" w:name="_Toc26140162"/>
      <w:bookmarkStart w:id="88" w:name="_Toc530496015"/>
      <w:bookmarkStart w:id="89" w:name="_Toc42261128"/>
      <w:bookmarkStart w:id="90" w:name="_Toc530496552"/>
      <w:bookmarkStart w:id="91" w:name="_Toc15760824"/>
      <w:r>
        <w:rPr>
          <w:rFonts w:hint="eastAsia"/>
          <w:color w:val="auto"/>
        </w:rPr>
        <w:t>单位工程验收要求</w:t>
      </w:r>
      <w:bookmarkEnd w:id="86"/>
      <w:bookmarkEnd w:id="87"/>
      <w:bookmarkEnd w:id="88"/>
      <w:bookmarkEnd w:id="89"/>
      <w:bookmarkEnd w:id="90"/>
      <w:bookmarkEnd w:id="91"/>
      <w:r>
        <w:rPr>
          <w:rFonts w:hint="eastAsia"/>
          <w:color w:val="auto"/>
        </w:rPr>
        <w:t>应符合下列规定</w:t>
      </w:r>
      <w:r>
        <w:rPr>
          <w:rFonts w:hint="eastAsia"/>
          <w:color w:val="auto"/>
          <w:lang w:eastAsia="zh-CN"/>
        </w:rPr>
        <w:t>：</w:t>
      </w:r>
    </w:p>
    <w:p>
      <w:pPr>
        <w:numPr>
          <w:ilvl w:val="0"/>
          <w:numId w:val="31"/>
        </w:numPr>
        <w:ind w:firstLine="741" w:firstLineChars="309"/>
      </w:pPr>
      <w:r>
        <w:rPr>
          <w:rFonts w:hint="eastAsia"/>
        </w:rPr>
        <w:t>系统正常运营90天、经验证合格及完成档案验收后，可向监理和业主申请竣工验收。竣工验收按期举行确有困难的，经工程验收主持单位同意，可适当延长期限；</w:t>
      </w:r>
    </w:p>
    <w:p>
      <w:pPr>
        <w:numPr>
          <w:ilvl w:val="0"/>
          <w:numId w:val="31"/>
        </w:numPr>
        <w:ind w:firstLine="741" w:firstLineChars="309"/>
      </w:pPr>
      <w:r>
        <w:rPr>
          <w:rFonts w:hint="eastAsia"/>
        </w:rPr>
        <w:t>提交竣工验收报告前历次检查和监理发现的问题</w:t>
      </w:r>
      <w:r>
        <w:rPr>
          <w:rFonts w:hint="eastAsia"/>
          <w:lang w:val="en-US" w:eastAsia="zh-CN"/>
        </w:rPr>
        <w:t>应</w:t>
      </w:r>
      <w:r>
        <w:rPr>
          <w:rFonts w:hint="eastAsia"/>
        </w:rPr>
        <w:t>全部处理完毕；</w:t>
      </w:r>
    </w:p>
    <w:p>
      <w:pPr>
        <w:numPr>
          <w:ilvl w:val="0"/>
          <w:numId w:val="31"/>
        </w:numPr>
        <w:ind w:firstLine="741" w:firstLineChars="309"/>
      </w:pPr>
      <w:r>
        <w:rPr>
          <w:rFonts w:hint="eastAsia"/>
        </w:rPr>
        <w:t>提交竣工验收报告前归档资料</w:t>
      </w:r>
      <w:r>
        <w:rPr>
          <w:rFonts w:hint="eastAsia"/>
          <w:color w:val="auto"/>
          <w:lang w:val="en-US" w:eastAsia="zh-CN"/>
        </w:rPr>
        <w:t>应</w:t>
      </w:r>
      <w:r>
        <w:rPr>
          <w:rFonts w:hint="eastAsia"/>
          <w:color w:val="auto"/>
        </w:rPr>
        <w:t>符合工程</w:t>
      </w:r>
      <w:r>
        <w:rPr>
          <w:rFonts w:hint="eastAsia"/>
        </w:rPr>
        <w:t>档案资料管理的有关规定；</w:t>
      </w:r>
    </w:p>
    <w:p>
      <w:pPr>
        <w:numPr>
          <w:ilvl w:val="0"/>
          <w:numId w:val="31"/>
        </w:numPr>
        <w:ind w:firstLine="741" w:firstLineChars="309"/>
      </w:pPr>
      <w:r>
        <w:rPr>
          <w:rFonts w:hint="eastAsia"/>
        </w:rPr>
        <w:t>监测数据必须有效传输至城市桥梁管理部门监控中心，统一维护管理；</w:t>
      </w:r>
    </w:p>
    <w:p>
      <w:pPr>
        <w:numPr>
          <w:ilvl w:val="0"/>
          <w:numId w:val="31"/>
        </w:numPr>
        <w:ind w:firstLine="741" w:firstLineChars="309"/>
      </w:pPr>
      <w:r>
        <w:rPr>
          <w:rFonts w:hint="eastAsia"/>
        </w:rPr>
        <w:t>系统应保证24h连续工作；</w:t>
      </w:r>
    </w:p>
    <w:p>
      <w:pPr>
        <w:numPr>
          <w:ilvl w:val="0"/>
          <w:numId w:val="31"/>
        </w:numPr>
        <w:ind w:firstLine="741" w:firstLineChars="309"/>
      </w:pPr>
      <w:r>
        <w:rPr>
          <w:rFonts w:hint="eastAsia"/>
        </w:rPr>
        <w:t>系统应满足实时监测、定期远程监控、特殊环境状况下的应急监测需求；</w:t>
      </w:r>
    </w:p>
    <w:p>
      <w:pPr>
        <w:numPr>
          <w:ilvl w:val="0"/>
          <w:numId w:val="31"/>
        </w:numPr>
        <w:ind w:firstLine="741" w:firstLineChars="309"/>
      </w:pPr>
      <w:r>
        <w:rPr>
          <w:rFonts w:hint="eastAsia"/>
        </w:rPr>
        <w:t>系统应满足人工控制启动功能；</w:t>
      </w:r>
    </w:p>
    <w:p>
      <w:pPr>
        <w:numPr>
          <w:ilvl w:val="0"/>
          <w:numId w:val="31"/>
        </w:numPr>
        <w:ind w:firstLine="741" w:firstLineChars="309"/>
      </w:pPr>
      <w:r>
        <w:rPr>
          <w:rFonts w:hint="eastAsia"/>
        </w:rPr>
        <w:t>必须提供系统完整的帮助文档和操作手册；</w:t>
      </w:r>
    </w:p>
    <w:p>
      <w:pPr>
        <w:numPr>
          <w:ilvl w:val="0"/>
          <w:numId w:val="31"/>
        </w:numPr>
        <w:ind w:firstLine="741" w:firstLineChars="309"/>
      </w:pPr>
      <w:r>
        <w:rPr>
          <w:rFonts w:hint="eastAsia"/>
        </w:rPr>
        <w:t>验收前应提交的工程资料清单包括竣工验收申请报告、竣工图、工程决算书、图纸会审记录，设计变更洽商记录、材料、硬件的质量合格证明、施工记录。包括必要的检验、试验记录、中间交接记录与证明、工程质量事故发生和处理记录、工程变更单、其它有关该项工程的技术决定和技术资料、系统使用说明书、系统维护说明书、系统硬件、软件清单、系统审批资料、本规范规定的在软件实施过程中形成的文档、软件测试报告、系统试运行报告</w:t>
      </w:r>
      <w:r>
        <w:rPr>
          <w:rFonts w:hint="eastAsia"/>
          <w:lang w:eastAsia="zh-CN"/>
        </w:rPr>
        <w:t>；</w:t>
      </w:r>
    </w:p>
    <w:p>
      <w:pPr>
        <w:numPr>
          <w:ilvl w:val="0"/>
          <w:numId w:val="31"/>
        </w:numPr>
        <w:ind w:firstLine="741" w:firstLineChars="309"/>
      </w:pPr>
      <w:r>
        <w:rPr>
          <w:rFonts w:hint="eastAsia"/>
        </w:rPr>
        <w:t>竣工验收申请报告应包括竣工验收申请表及单位工程竣工验收记录，宜按附录A中表A.5、A.6中的要求进行记录。</w:t>
      </w:r>
    </w:p>
    <w:p>
      <w:pPr>
        <w:pStyle w:val="3"/>
        <w:jc w:val="center"/>
      </w:pPr>
      <w:bookmarkStart w:id="92" w:name="_Toc136506068"/>
      <w:r>
        <w:rPr>
          <w:rFonts w:hint="eastAsia"/>
          <w:lang w:val="en-US" w:eastAsia="zh-CN"/>
        </w:rPr>
        <w:t>系统试运行</w:t>
      </w:r>
    </w:p>
    <w:p>
      <w:pPr>
        <w:pStyle w:val="4"/>
        <w:rPr>
          <w:rFonts w:hint="eastAsia"/>
        </w:rPr>
      </w:pPr>
      <w:r>
        <w:rPr>
          <w:rFonts w:hint="eastAsia"/>
        </w:rPr>
        <w:t>系统试运行应在系统单项调试和联合调试合格后进行。</w:t>
      </w:r>
    </w:p>
    <w:p>
      <w:pPr>
        <w:pStyle w:val="4"/>
        <w:rPr>
          <w:rFonts w:hint="eastAsia"/>
        </w:rPr>
      </w:pPr>
      <w:r>
        <w:rPr>
          <w:rFonts w:hint="eastAsia"/>
        </w:rPr>
        <w:t>系统试运行的时间期限应符合设计规定</w:t>
      </w:r>
      <w:r>
        <w:rPr>
          <w:rFonts w:hint="eastAsia"/>
          <w:lang w:eastAsia="zh-CN"/>
        </w:rPr>
        <w:t>，</w:t>
      </w:r>
      <w:r>
        <w:rPr>
          <w:rFonts w:hint="eastAsia"/>
        </w:rPr>
        <w:t>当设计无规定时</w:t>
      </w:r>
      <w:r>
        <w:rPr>
          <w:rFonts w:hint="eastAsia"/>
          <w:lang w:eastAsia="zh-CN"/>
        </w:rPr>
        <w:t>，</w:t>
      </w:r>
      <w:r>
        <w:rPr>
          <w:rFonts w:hint="eastAsia"/>
        </w:rPr>
        <w:t>试运行期应不少于3个月。</w:t>
      </w:r>
    </w:p>
    <w:p>
      <w:pPr>
        <w:pStyle w:val="4"/>
        <w:rPr>
          <w:rFonts w:hint="eastAsia"/>
        </w:rPr>
      </w:pPr>
      <w:r>
        <w:rPr>
          <w:rFonts w:hint="eastAsia"/>
        </w:rPr>
        <w:t>试运行期间系统的可靠性应符合下列规定</w:t>
      </w:r>
      <w:r>
        <w:rPr>
          <w:rFonts w:hint="eastAsia"/>
          <w:lang w:eastAsia="zh-CN"/>
        </w:rPr>
        <w:t>：</w:t>
      </w:r>
    </w:p>
    <w:p>
      <w:pPr>
        <w:numPr>
          <w:ilvl w:val="0"/>
          <w:numId w:val="32"/>
        </w:numPr>
        <w:tabs>
          <w:tab w:val="left" w:pos="0"/>
          <w:tab w:val="clear" w:pos="420"/>
        </w:tabs>
        <w:ind w:firstLine="374" w:firstLineChars="0"/>
        <w:rPr>
          <w:rFonts w:hint="eastAsia"/>
        </w:rPr>
      </w:pPr>
      <w:r>
        <w:rPr>
          <w:rFonts w:hint="eastAsia"/>
        </w:rPr>
        <w:t>系统设备每月平均无故障工作时间</w:t>
      </w:r>
      <w:r>
        <w:rPr>
          <w:rFonts w:hint="eastAsia"/>
          <w:lang w:val="en-US" w:eastAsia="zh-CN"/>
        </w:rPr>
        <w:t>不应</w:t>
      </w:r>
      <w:r>
        <w:rPr>
          <w:rFonts w:hint="eastAsia"/>
        </w:rPr>
        <w:t>小于每月总时长的95%</w:t>
      </w:r>
      <w:r>
        <w:rPr>
          <w:rFonts w:hint="eastAsia"/>
          <w:lang w:eastAsia="zh-CN"/>
        </w:rPr>
        <w:t>，</w:t>
      </w:r>
      <w:r>
        <w:rPr>
          <w:rFonts w:hint="eastAsia"/>
        </w:rPr>
        <w:t>统计时宜排除网电等外部因素影响</w:t>
      </w:r>
      <w:r>
        <w:rPr>
          <w:rFonts w:hint="eastAsia"/>
          <w:lang w:eastAsia="zh-CN"/>
        </w:rPr>
        <w:t>。</w:t>
      </w:r>
    </w:p>
    <w:p>
      <w:pPr>
        <w:numPr>
          <w:ilvl w:val="0"/>
          <w:numId w:val="32"/>
        </w:numPr>
        <w:tabs>
          <w:tab w:val="left" w:pos="0"/>
          <w:tab w:val="clear" w:pos="420"/>
        </w:tabs>
        <w:ind w:firstLine="374" w:firstLineChars="0"/>
        <w:rPr>
          <w:rFonts w:hint="eastAsia"/>
        </w:rPr>
      </w:pPr>
      <w:r>
        <w:rPr>
          <w:rFonts w:hint="eastAsia"/>
        </w:rPr>
        <w:t>系统自动采集数据日均数据缺失率不应大于5</w:t>
      </w:r>
      <w:r>
        <w:rPr>
          <w:rFonts w:hint="eastAsia"/>
          <w:lang w:val="en-US" w:eastAsia="zh-CN"/>
        </w:rPr>
        <w:t>%</w:t>
      </w:r>
      <w:r>
        <w:rPr>
          <w:rFonts w:hint="eastAsia"/>
          <w:lang w:eastAsia="zh-CN"/>
        </w:rPr>
        <w:t>。</w:t>
      </w:r>
    </w:p>
    <w:p>
      <w:pPr>
        <w:pStyle w:val="4"/>
        <w:rPr>
          <w:rFonts w:hint="eastAsia"/>
        </w:rPr>
      </w:pPr>
      <w:r>
        <w:rPr>
          <w:rFonts w:hint="eastAsia"/>
        </w:rPr>
        <w:t>试运行期间系统的稳定性应符合下列规定</w:t>
      </w:r>
      <w:r>
        <w:rPr>
          <w:rFonts w:hint="eastAsia"/>
          <w:lang w:eastAsia="zh-CN"/>
        </w:rPr>
        <w:t>：</w:t>
      </w:r>
    </w:p>
    <w:p>
      <w:pPr>
        <w:numPr>
          <w:ilvl w:val="0"/>
          <w:numId w:val="33"/>
        </w:numPr>
        <w:tabs>
          <w:tab w:val="left" w:pos="0"/>
          <w:tab w:val="clear" w:pos="420"/>
        </w:tabs>
        <w:ind w:firstLine="374" w:firstLineChars="0"/>
        <w:rPr>
          <w:rFonts w:hint="eastAsia"/>
        </w:rPr>
      </w:pPr>
      <w:r>
        <w:rPr>
          <w:rFonts w:hint="eastAsia"/>
        </w:rPr>
        <w:t>当被测桥梁结构受力、环境基本不变时</w:t>
      </w:r>
      <w:r>
        <w:rPr>
          <w:rFonts w:hint="eastAsia"/>
          <w:lang w:eastAsia="zh-CN"/>
        </w:rPr>
        <w:t>，</w:t>
      </w:r>
      <w:r>
        <w:rPr>
          <w:rFonts w:hint="eastAsia"/>
        </w:rPr>
        <w:t>监测静态参数的传感器在1min内连续采集数据的变动幅值应小于本标准表</w:t>
      </w:r>
      <w:r>
        <w:rPr>
          <w:rFonts w:hint="eastAsia" w:ascii="宋体" w:cs="Times New Roman"/>
          <w:kern w:val="0"/>
        </w:rPr>
        <w:t>5.2.3</w:t>
      </w:r>
      <w:r>
        <w:rPr>
          <w:rFonts w:hint="eastAsia"/>
        </w:rPr>
        <w:t>的规定</w:t>
      </w:r>
      <w:r>
        <w:rPr>
          <w:rFonts w:hint="eastAsia"/>
          <w:lang w:eastAsia="zh-CN"/>
        </w:rPr>
        <w:t>。</w:t>
      </w:r>
    </w:p>
    <w:p>
      <w:pPr>
        <w:numPr>
          <w:ilvl w:val="0"/>
          <w:numId w:val="33"/>
        </w:numPr>
        <w:tabs>
          <w:tab w:val="left" w:pos="0"/>
          <w:tab w:val="clear" w:pos="420"/>
        </w:tabs>
        <w:ind w:firstLine="374" w:firstLineChars="0"/>
        <w:rPr>
          <w:rFonts w:hint="eastAsia"/>
        </w:rPr>
      </w:pPr>
      <w:r>
        <w:rPr>
          <w:rFonts w:hint="eastAsia"/>
        </w:rPr>
        <w:t>试运行期间监测系统在监测点与人工测试点相同或邻近条件下，系统自动采集数据与相应时间人工测试数据的规律应一致，变化幅值应接近</w:t>
      </w:r>
      <w:r>
        <w:rPr>
          <w:rFonts w:hint="eastAsia"/>
          <w:lang w:eastAsia="zh-CN"/>
        </w:rPr>
        <w:t>。</w:t>
      </w:r>
    </w:p>
    <w:p>
      <w:pPr>
        <w:numPr>
          <w:ilvl w:val="0"/>
          <w:numId w:val="33"/>
        </w:numPr>
        <w:tabs>
          <w:tab w:val="left" w:pos="0"/>
          <w:tab w:val="clear" w:pos="420"/>
        </w:tabs>
        <w:ind w:firstLine="374" w:firstLineChars="0"/>
      </w:pPr>
      <w:r>
        <w:rPr>
          <w:rFonts w:hint="eastAsia"/>
        </w:rPr>
        <w:t>试运行期间监测系统</w:t>
      </w:r>
      <w:r>
        <w:rPr>
          <w:rFonts w:hint="eastAsia"/>
          <w:lang w:val="en-US" w:eastAsia="zh-CN"/>
        </w:rPr>
        <w:t>的</w:t>
      </w:r>
      <w:r>
        <w:rPr>
          <w:rFonts w:hint="eastAsia"/>
        </w:rPr>
        <w:t>数据应具有较好的周期性</w:t>
      </w:r>
      <w:r>
        <w:rPr>
          <w:rFonts w:hint="eastAsia"/>
          <w:lang w:val="en-US" w:eastAsia="zh-CN"/>
        </w:rPr>
        <w:t>、</w:t>
      </w:r>
      <w:r>
        <w:rPr>
          <w:rFonts w:hint="eastAsia"/>
        </w:rPr>
        <w:t>与环境的相关性，并不得出现明显的系统性偏移</w:t>
      </w:r>
      <w:r>
        <w:rPr>
          <w:rFonts w:hint="eastAsia"/>
          <w:lang w:eastAsia="zh-CN"/>
        </w:rPr>
        <w:t>。</w:t>
      </w:r>
    </w:p>
    <w:p>
      <w:pPr>
        <w:pStyle w:val="3"/>
        <w:jc w:val="center"/>
      </w:pPr>
      <w:r>
        <w:rPr>
          <w:rFonts w:hint="eastAsia"/>
        </w:rPr>
        <w:t>项目质量管理</w:t>
      </w:r>
      <w:bookmarkEnd w:id="92"/>
    </w:p>
    <w:p>
      <w:pPr>
        <w:pStyle w:val="4"/>
        <w:rPr>
          <w:color w:val="auto"/>
        </w:rPr>
      </w:pPr>
      <w:r>
        <w:rPr>
          <w:rFonts w:hint="eastAsia"/>
          <w:color w:val="auto"/>
        </w:rPr>
        <w:t>质量控制措施</w:t>
      </w:r>
      <w:r>
        <w:rPr>
          <w:rFonts w:hint="eastAsia"/>
          <w:color w:val="auto"/>
          <w:lang w:eastAsia="zh-CN"/>
        </w:rPr>
        <w:t>必须</w:t>
      </w:r>
      <w:r>
        <w:rPr>
          <w:rFonts w:hint="eastAsia"/>
          <w:color w:val="auto"/>
          <w:lang w:val="en-US" w:eastAsia="zh-CN"/>
        </w:rPr>
        <w:t>符合下列规定：</w:t>
      </w:r>
    </w:p>
    <w:p>
      <w:pPr>
        <w:numPr>
          <w:ilvl w:val="0"/>
          <w:numId w:val="34"/>
        </w:numPr>
        <w:tabs>
          <w:tab w:val="left" w:pos="0"/>
          <w:tab w:val="clear" w:pos="420"/>
        </w:tabs>
        <w:ind w:firstLine="374" w:firstLineChars="0"/>
        <w:rPr>
          <w:color w:val="auto"/>
        </w:rPr>
      </w:pPr>
      <w:r>
        <w:rPr>
          <w:rFonts w:hint="eastAsia"/>
          <w:color w:val="auto"/>
        </w:rPr>
        <w:t>采购质量控制应符合下列要求</w:t>
      </w:r>
      <w:r>
        <w:rPr>
          <w:rFonts w:hint="eastAsia"/>
          <w:color w:val="auto"/>
          <w:lang w:eastAsia="zh-CN"/>
        </w:rPr>
        <w:t>：</w:t>
      </w:r>
    </w:p>
    <w:p>
      <w:pPr>
        <w:numPr>
          <w:ilvl w:val="0"/>
          <w:numId w:val="35"/>
        </w:numPr>
        <w:ind w:firstLine="741" w:firstLineChars="309"/>
        <w:rPr>
          <w:color w:val="auto"/>
          <w:highlight w:val="none"/>
        </w:rPr>
      </w:pPr>
      <w:r>
        <w:rPr>
          <w:rFonts w:hint="eastAsia"/>
          <w:color w:val="auto"/>
          <w:highlight w:val="none"/>
          <w:lang w:val="en-US" w:eastAsia="zh-CN"/>
        </w:rPr>
        <w:t>宜根据设备生产厂家的业绩、信誉、设备运行质量进行选择</w:t>
      </w:r>
      <w:r>
        <w:rPr>
          <w:rFonts w:hint="eastAsia"/>
          <w:color w:val="auto"/>
          <w:highlight w:val="none"/>
        </w:rPr>
        <w:t>；</w:t>
      </w:r>
    </w:p>
    <w:p>
      <w:pPr>
        <w:numPr>
          <w:ilvl w:val="0"/>
          <w:numId w:val="35"/>
        </w:numPr>
        <w:ind w:firstLine="741" w:firstLineChars="309"/>
        <w:rPr>
          <w:color w:val="auto"/>
        </w:rPr>
      </w:pPr>
      <w:r>
        <w:rPr>
          <w:color w:val="auto"/>
        </w:rPr>
        <w:t>设备生产供应过程中</w:t>
      </w:r>
      <w:r>
        <w:rPr>
          <w:rFonts w:hint="eastAsia"/>
          <w:color w:val="auto"/>
          <w:lang w:val="en-US" w:eastAsia="zh-CN"/>
        </w:rPr>
        <w:t>宜</w:t>
      </w:r>
      <w:r>
        <w:rPr>
          <w:color w:val="auto"/>
        </w:rPr>
        <w:t>派员监督</w:t>
      </w:r>
      <w:r>
        <w:rPr>
          <w:rFonts w:hint="eastAsia"/>
          <w:color w:val="auto"/>
        </w:rPr>
        <w:t>；</w:t>
      </w:r>
    </w:p>
    <w:p>
      <w:pPr>
        <w:numPr>
          <w:ilvl w:val="0"/>
          <w:numId w:val="35"/>
        </w:numPr>
        <w:ind w:firstLine="741" w:firstLineChars="309"/>
        <w:rPr>
          <w:color w:val="auto"/>
          <w:highlight w:val="none"/>
        </w:rPr>
      </w:pPr>
      <w:r>
        <w:rPr>
          <w:color w:val="auto"/>
          <w:highlight w:val="none"/>
        </w:rPr>
        <w:t>设备出厂前及到货后，</w:t>
      </w:r>
      <w:r>
        <w:rPr>
          <w:rFonts w:hint="eastAsia"/>
          <w:color w:val="auto"/>
          <w:highlight w:val="none"/>
          <w:lang w:val="en-US" w:eastAsia="zh-CN"/>
        </w:rPr>
        <w:t>应</w:t>
      </w:r>
      <w:r>
        <w:rPr>
          <w:color w:val="auto"/>
          <w:highlight w:val="none"/>
        </w:rPr>
        <w:t>认真检查测试</w:t>
      </w:r>
      <w:r>
        <w:rPr>
          <w:rFonts w:hint="eastAsia"/>
          <w:color w:val="auto"/>
          <w:highlight w:val="none"/>
          <w:lang w:eastAsia="zh-CN"/>
        </w:rPr>
        <w:t>。</w:t>
      </w:r>
    </w:p>
    <w:p>
      <w:pPr>
        <w:numPr>
          <w:ilvl w:val="0"/>
          <w:numId w:val="34"/>
        </w:numPr>
        <w:tabs>
          <w:tab w:val="left" w:pos="0"/>
          <w:tab w:val="clear" w:pos="420"/>
        </w:tabs>
        <w:ind w:firstLine="374" w:firstLineChars="0"/>
        <w:rPr>
          <w:color w:val="auto"/>
          <w:highlight w:val="none"/>
        </w:rPr>
      </w:pPr>
      <w:r>
        <w:rPr>
          <w:rFonts w:hint="eastAsia"/>
          <w:color w:val="auto"/>
          <w:highlight w:val="none"/>
        </w:rPr>
        <w:t>施工过程质量控制应符合下列</w:t>
      </w:r>
      <w:r>
        <w:rPr>
          <w:rFonts w:hint="eastAsia"/>
          <w:color w:val="auto"/>
          <w:lang w:val="en-US" w:eastAsia="zh-CN"/>
        </w:rPr>
        <w:t>规定：</w:t>
      </w:r>
    </w:p>
    <w:p>
      <w:pPr>
        <w:numPr>
          <w:ilvl w:val="0"/>
          <w:numId w:val="36"/>
        </w:numPr>
        <w:ind w:firstLine="741" w:firstLineChars="309"/>
        <w:rPr>
          <w:color w:val="auto"/>
          <w:highlight w:val="none"/>
        </w:rPr>
      </w:pPr>
      <w:bookmarkStart w:id="93" w:name="_Hlk130913990"/>
      <w:r>
        <w:rPr>
          <w:color w:val="auto"/>
          <w:highlight w:val="none"/>
        </w:rPr>
        <w:t>严格执行业主和监理工程师指定的工程标准</w:t>
      </w:r>
      <w:r>
        <w:rPr>
          <w:rFonts w:hint="eastAsia"/>
          <w:color w:val="auto"/>
          <w:highlight w:val="none"/>
        </w:rPr>
        <w:t>；</w:t>
      </w:r>
    </w:p>
    <w:p>
      <w:pPr>
        <w:numPr>
          <w:ilvl w:val="0"/>
          <w:numId w:val="36"/>
        </w:numPr>
        <w:ind w:firstLine="741" w:firstLineChars="309"/>
      </w:pPr>
      <w:r>
        <w:rPr>
          <w:color w:val="auto"/>
          <w:highlight w:val="none"/>
        </w:rPr>
        <w:t>严格遵守各项操作方</w:t>
      </w:r>
      <w:r>
        <w:t>法和规程</w:t>
      </w:r>
      <w:r>
        <w:rPr>
          <w:rFonts w:hint="eastAsia"/>
          <w:lang w:eastAsia="zh-CN"/>
        </w:rPr>
        <w:t>；</w:t>
      </w:r>
    </w:p>
    <w:p>
      <w:pPr>
        <w:numPr>
          <w:ilvl w:val="0"/>
          <w:numId w:val="36"/>
        </w:numPr>
        <w:ind w:firstLine="741" w:firstLineChars="309"/>
      </w:pPr>
      <w:r>
        <w:t>分工序</w:t>
      </w:r>
      <w:r>
        <w:rPr>
          <w:rFonts w:hint="eastAsia"/>
          <w:lang w:val="en-US" w:eastAsia="zh-CN"/>
        </w:rPr>
        <w:t>应</w:t>
      </w:r>
      <w:r>
        <w:t>制定控制方案，各专业工程师必须根据各工序特点，制定各专业主要工序质量控制方案</w:t>
      </w:r>
      <w:r>
        <w:rPr>
          <w:rFonts w:hint="eastAsia"/>
        </w:rPr>
        <w:t>；</w:t>
      </w:r>
    </w:p>
    <w:p>
      <w:pPr>
        <w:numPr>
          <w:ilvl w:val="0"/>
          <w:numId w:val="36"/>
        </w:numPr>
        <w:ind w:firstLine="741" w:firstLineChars="309"/>
      </w:pPr>
      <w:r>
        <w:rPr>
          <w:rFonts w:hint="eastAsia"/>
          <w:lang w:val="en-US" w:eastAsia="zh-CN"/>
        </w:rPr>
        <w:t>应</w:t>
      </w:r>
      <w:r>
        <w:t>建立质量管理岗位责任制，项目负责</w:t>
      </w:r>
      <w:r>
        <w:rPr>
          <w:color w:val="auto"/>
        </w:rPr>
        <w:t>人将根据</w:t>
      </w:r>
      <w:r>
        <w:t>各施工管理各部门、各工种的特点，制定质量管理岗位责任制，明确职责范围、工程程序、质量标准、质量目标、规范施工及管理</w:t>
      </w:r>
      <w:r>
        <w:rPr>
          <w:rFonts w:hint="eastAsia"/>
        </w:rPr>
        <w:t>；</w:t>
      </w:r>
    </w:p>
    <w:p>
      <w:pPr>
        <w:numPr>
          <w:ilvl w:val="0"/>
          <w:numId w:val="36"/>
        </w:numPr>
        <w:ind w:firstLine="741" w:firstLineChars="309"/>
      </w:pPr>
      <w:r>
        <w:rPr>
          <w:rFonts w:hint="eastAsia"/>
          <w:lang w:val="en-US" w:eastAsia="zh-CN"/>
        </w:rPr>
        <w:t>必须</w:t>
      </w:r>
      <w:r>
        <w:t>认真填写施工记录。</w:t>
      </w:r>
      <w:bookmarkEnd w:id="93"/>
    </w:p>
    <w:p>
      <w:pPr>
        <w:numPr>
          <w:ilvl w:val="0"/>
          <w:numId w:val="34"/>
        </w:numPr>
        <w:tabs>
          <w:tab w:val="left" w:pos="0"/>
          <w:tab w:val="clear" w:pos="420"/>
        </w:tabs>
        <w:ind w:firstLine="374" w:firstLineChars="0"/>
        <w:rPr>
          <w:color w:val="auto"/>
        </w:rPr>
      </w:pPr>
      <w:r>
        <w:rPr>
          <w:rFonts w:hint="eastAsia"/>
          <w:color w:val="auto"/>
        </w:rPr>
        <w:t>检验、试验制度应符合下列</w:t>
      </w:r>
      <w:r>
        <w:rPr>
          <w:rFonts w:hint="eastAsia"/>
          <w:color w:val="auto"/>
          <w:lang w:val="en-US" w:eastAsia="zh-CN"/>
        </w:rPr>
        <w:t>规定：</w:t>
      </w:r>
    </w:p>
    <w:p>
      <w:pPr>
        <w:numPr>
          <w:ilvl w:val="0"/>
          <w:numId w:val="37"/>
        </w:numPr>
        <w:ind w:firstLine="741" w:firstLineChars="309"/>
      </w:pPr>
      <w:r>
        <w:t>未经检验的设备不得进场</w:t>
      </w:r>
      <w:r>
        <w:rPr>
          <w:rFonts w:hint="eastAsia"/>
        </w:rPr>
        <w:t>；</w:t>
      </w:r>
    </w:p>
    <w:p>
      <w:pPr>
        <w:numPr>
          <w:ilvl w:val="0"/>
          <w:numId w:val="37"/>
        </w:numPr>
        <w:ind w:firstLine="741" w:firstLineChars="309"/>
      </w:pPr>
      <w:r>
        <w:t>施工过程中的各工序完工后，必须经质保工程师检查合格后，方可进行下道</w:t>
      </w:r>
      <w:r>
        <w:rPr>
          <w:rFonts w:hint="eastAsia"/>
        </w:rPr>
        <w:t>工序；</w:t>
      </w:r>
    </w:p>
    <w:p>
      <w:pPr>
        <w:numPr>
          <w:ilvl w:val="0"/>
          <w:numId w:val="37"/>
        </w:numPr>
        <w:ind w:firstLine="741" w:firstLineChars="309"/>
      </w:pPr>
      <w:r>
        <w:rPr>
          <w:rFonts w:hint="eastAsia"/>
        </w:rPr>
        <w:t>建设单位</w:t>
      </w:r>
      <w:r>
        <w:rPr>
          <w:rFonts w:hint="eastAsia"/>
          <w:lang w:val="en-US" w:eastAsia="zh-CN"/>
        </w:rPr>
        <w:t>应</w:t>
      </w:r>
      <w:r>
        <w:rPr>
          <w:rFonts w:hint="eastAsia"/>
        </w:rPr>
        <w:t>加强</w:t>
      </w:r>
      <w:r>
        <w:t>与业主和监理工程师的联系，</w:t>
      </w:r>
      <w:r>
        <w:rPr>
          <w:rFonts w:hint="eastAsia"/>
          <w:lang w:val="en-US" w:eastAsia="zh-CN"/>
        </w:rPr>
        <w:t>应</w:t>
      </w:r>
      <w:r>
        <w:t>认真执行业主和监理工程师的各项指令、要求。</w:t>
      </w:r>
    </w:p>
    <w:p>
      <w:pPr>
        <w:numPr>
          <w:ilvl w:val="0"/>
          <w:numId w:val="34"/>
        </w:numPr>
        <w:tabs>
          <w:tab w:val="left" w:pos="0"/>
          <w:tab w:val="clear" w:pos="420"/>
        </w:tabs>
        <w:ind w:firstLine="374" w:firstLineChars="0"/>
        <w:rPr>
          <w:color w:val="auto"/>
        </w:rPr>
      </w:pPr>
      <w:r>
        <w:rPr>
          <w:rFonts w:hint="eastAsia"/>
          <w:color w:val="auto"/>
        </w:rPr>
        <w:t>建立纠正和预防措施应符合下列</w:t>
      </w:r>
      <w:r>
        <w:rPr>
          <w:rFonts w:hint="eastAsia"/>
          <w:color w:val="auto"/>
          <w:lang w:val="en-US" w:eastAsia="zh-CN"/>
        </w:rPr>
        <w:t>规定：</w:t>
      </w:r>
    </w:p>
    <w:p>
      <w:pPr>
        <w:numPr>
          <w:ilvl w:val="0"/>
          <w:numId w:val="38"/>
        </w:numPr>
        <w:ind w:firstLine="741" w:firstLineChars="309"/>
      </w:pPr>
      <w:r>
        <w:t>发现不合格的工程，</w:t>
      </w:r>
      <w:r>
        <w:rPr>
          <w:rFonts w:hint="eastAsia"/>
          <w:lang w:val="en-US" w:eastAsia="zh-CN"/>
        </w:rPr>
        <w:t>必须立即</w:t>
      </w:r>
      <w:r>
        <w:t>纠正</w:t>
      </w:r>
      <w:r>
        <w:rPr>
          <w:rFonts w:hint="eastAsia"/>
        </w:rPr>
        <w:t>；</w:t>
      </w:r>
    </w:p>
    <w:p>
      <w:pPr>
        <w:numPr>
          <w:ilvl w:val="0"/>
          <w:numId w:val="38"/>
        </w:numPr>
        <w:ind w:firstLine="741" w:firstLineChars="309"/>
      </w:pPr>
      <w:r>
        <w:rPr>
          <w:rFonts w:hint="eastAsia"/>
          <w:lang w:val="en-US" w:eastAsia="zh-CN"/>
        </w:rPr>
        <w:t>应</w:t>
      </w:r>
      <w:r>
        <w:t>定期对施工过程进行分析</w:t>
      </w:r>
      <w:r>
        <w:rPr>
          <w:rFonts w:hint="eastAsia"/>
          <w:lang w:val="en-US" w:eastAsia="zh-CN"/>
        </w:rPr>
        <w:t>、</w:t>
      </w:r>
      <w:r>
        <w:t>研究</w:t>
      </w:r>
      <w:r>
        <w:rPr>
          <w:rFonts w:hint="eastAsia"/>
          <w:lang w:eastAsia="zh-CN"/>
        </w:rPr>
        <w:t>，</w:t>
      </w:r>
      <w:r>
        <w:t>及时发现、分析并消除不合格因素和潜在因素。</w:t>
      </w:r>
    </w:p>
    <w:p>
      <w:pPr>
        <w:pStyle w:val="4"/>
        <w:rPr>
          <w:color w:val="auto"/>
        </w:rPr>
      </w:pPr>
      <w:r>
        <w:rPr>
          <w:rFonts w:hint="eastAsia"/>
          <w:color w:val="auto"/>
        </w:rPr>
        <w:t>质量控制环节</w:t>
      </w:r>
      <w:r>
        <w:rPr>
          <w:rFonts w:hint="eastAsia"/>
          <w:color w:val="auto"/>
          <w:lang w:eastAsia="zh-CN"/>
        </w:rPr>
        <w:t>必须</w:t>
      </w:r>
      <w:r>
        <w:rPr>
          <w:rFonts w:hint="eastAsia"/>
          <w:color w:val="auto"/>
        </w:rPr>
        <w:t>符合下列规定</w:t>
      </w:r>
      <w:r>
        <w:rPr>
          <w:rFonts w:hint="eastAsia"/>
          <w:color w:val="auto"/>
          <w:lang w:eastAsia="zh-CN"/>
        </w:rPr>
        <w:t>：</w:t>
      </w:r>
    </w:p>
    <w:p>
      <w:pPr>
        <w:numPr>
          <w:ilvl w:val="0"/>
          <w:numId w:val="39"/>
        </w:numPr>
        <w:tabs>
          <w:tab w:val="left" w:pos="0"/>
          <w:tab w:val="clear" w:pos="420"/>
        </w:tabs>
        <w:ind w:firstLine="374" w:firstLineChars="0"/>
        <w:rPr>
          <w:color w:val="auto"/>
        </w:rPr>
      </w:pPr>
      <w:r>
        <w:rPr>
          <w:rFonts w:hint="eastAsia"/>
          <w:color w:val="auto"/>
        </w:rPr>
        <w:t>基础设施施工控制应符合下列规定</w:t>
      </w:r>
      <w:r>
        <w:rPr>
          <w:rFonts w:hint="eastAsia"/>
          <w:color w:val="auto"/>
          <w:lang w:eastAsia="zh-CN"/>
        </w:rPr>
        <w:t>：</w:t>
      </w:r>
    </w:p>
    <w:p>
      <w:pPr>
        <w:numPr>
          <w:ilvl w:val="0"/>
          <w:numId w:val="40"/>
        </w:numPr>
        <w:ind w:firstLine="741" w:firstLineChars="309"/>
        <w:rPr>
          <w:rFonts w:hint="eastAsia"/>
          <w:color w:val="auto"/>
          <w:highlight w:val="none"/>
        </w:rPr>
      </w:pPr>
      <w:r>
        <w:rPr>
          <w:rFonts w:hint="eastAsia"/>
          <w:color w:val="auto"/>
          <w:highlight w:val="none"/>
        </w:rPr>
        <w:t>应做好基础施工的辅助工具和相关材料的准备工作；</w:t>
      </w:r>
    </w:p>
    <w:p>
      <w:pPr>
        <w:numPr>
          <w:ilvl w:val="0"/>
          <w:numId w:val="40"/>
        </w:numPr>
        <w:ind w:firstLine="741" w:firstLineChars="309"/>
        <w:rPr>
          <w:color w:val="auto"/>
          <w:highlight w:val="none"/>
        </w:rPr>
      </w:pPr>
      <w:r>
        <w:rPr>
          <w:rFonts w:hint="eastAsia"/>
          <w:color w:val="auto"/>
          <w:highlight w:val="none"/>
        </w:rPr>
        <w:t>应做好基础施工图纸、施工工艺操作程序的准备工作</w:t>
      </w:r>
      <w:r>
        <w:rPr>
          <w:rFonts w:hint="eastAsia"/>
          <w:color w:val="auto"/>
          <w:highlight w:val="none"/>
          <w:lang w:eastAsia="zh-CN"/>
        </w:rPr>
        <w:t>；</w:t>
      </w:r>
    </w:p>
    <w:p>
      <w:pPr>
        <w:numPr>
          <w:ilvl w:val="0"/>
          <w:numId w:val="40"/>
        </w:numPr>
        <w:ind w:firstLine="741" w:firstLineChars="309"/>
      </w:pPr>
      <w:r>
        <w:t>根据施工图纸，制作有关设备的预制基础，安装尺寸的精确性</w:t>
      </w:r>
      <w:r>
        <w:rPr>
          <w:rFonts w:hint="eastAsia"/>
          <w:lang w:val="en-US" w:eastAsia="zh-CN"/>
        </w:rPr>
        <w:t>应符合要求</w:t>
      </w:r>
      <w:r>
        <w:rPr>
          <w:rFonts w:hint="eastAsia"/>
        </w:rPr>
        <w:t>；</w:t>
      </w:r>
    </w:p>
    <w:p>
      <w:pPr>
        <w:numPr>
          <w:ilvl w:val="0"/>
          <w:numId w:val="40"/>
        </w:numPr>
        <w:ind w:firstLine="741" w:firstLineChars="309"/>
      </w:pPr>
      <w:r>
        <w:t>敷设线缆之前，现场工程师</w:t>
      </w:r>
      <w:r>
        <w:rPr>
          <w:rFonts w:hint="eastAsia"/>
          <w:lang w:val="en-US" w:eastAsia="zh-CN"/>
        </w:rPr>
        <w:t>应</w:t>
      </w:r>
      <w:r>
        <w:t>对线缆进行质量检验，并填写现场设备检验测试报告单</w:t>
      </w:r>
      <w:r>
        <w:rPr>
          <w:rFonts w:hint="eastAsia"/>
        </w:rPr>
        <w:t>；</w:t>
      </w:r>
    </w:p>
    <w:p>
      <w:pPr>
        <w:numPr>
          <w:ilvl w:val="0"/>
          <w:numId w:val="40"/>
        </w:numPr>
        <w:ind w:firstLine="741" w:firstLineChars="309"/>
      </w:pPr>
      <w:r>
        <w:t>根据线缆敷设表</w:t>
      </w:r>
      <w:r>
        <w:rPr>
          <w:rFonts w:hint="eastAsia"/>
          <w:lang w:val="en-US" w:eastAsia="zh-CN"/>
        </w:rPr>
        <w:t>应</w:t>
      </w:r>
      <w:r>
        <w:t>对所用线缆进行标记编号，编号清晰、明确，一致</w:t>
      </w:r>
      <w:r>
        <w:rPr>
          <w:rFonts w:hint="eastAsia"/>
          <w:lang w:eastAsia="zh-CN"/>
        </w:rPr>
        <w:t>；</w:t>
      </w:r>
    </w:p>
    <w:p>
      <w:pPr>
        <w:numPr>
          <w:ilvl w:val="0"/>
          <w:numId w:val="40"/>
        </w:numPr>
        <w:ind w:firstLine="741" w:firstLineChars="309"/>
      </w:pPr>
      <w:r>
        <w:t>严格按照作业指导书进行线缆敷设工作</w:t>
      </w:r>
      <w:r>
        <w:rPr>
          <w:rFonts w:hint="eastAsia"/>
        </w:rPr>
        <w:t>；</w:t>
      </w:r>
    </w:p>
    <w:p>
      <w:pPr>
        <w:numPr>
          <w:ilvl w:val="0"/>
          <w:numId w:val="40"/>
        </w:numPr>
        <w:ind w:firstLine="741" w:firstLineChars="309"/>
      </w:pPr>
      <w:r>
        <w:t>线缆敷设完成后，现场工程师应该对线缆进行进一步检查，由现场工程师填写线缆敷设工程检验单</w:t>
      </w:r>
      <w:r>
        <w:rPr>
          <w:rFonts w:hint="eastAsia"/>
        </w:rPr>
        <w:t>；</w:t>
      </w:r>
    </w:p>
    <w:p>
      <w:pPr>
        <w:numPr>
          <w:ilvl w:val="0"/>
          <w:numId w:val="40"/>
        </w:numPr>
        <w:ind w:firstLine="741" w:firstLineChars="309"/>
      </w:pPr>
      <w:r>
        <w:t>现场作业人员</w:t>
      </w:r>
      <w:r>
        <w:rPr>
          <w:rFonts w:hint="eastAsia"/>
          <w:lang w:val="en-US" w:eastAsia="zh-CN"/>
        </w:rPr>
        <w:t>应</w:t>
      </w:r>
      <w:r>
        <w:t>在工程部工程师监督下根据系统要求，正确安装有关设备的辅助支架。</w:t>
      </w:r>
    </w:p>
    <w:p>
      <w:pPr>
        <w:numPr>
          <w:ilvl w:val="0"/>
          <w:numId w:val="39"/>
        </w:numPr>
        <w:tabs>
          <w:tab w:val="left" w:pos="0"/>
          <w:tab w:val="clear" w:pos="420"/>
        </w:tabs>
        <w:ind w:firstLine="374" w:firstLineChars="0"/>
        <w:rPr>
          <w:color w:val="auto"/>
        </w:rPr>
      </w:pPr>
      <w:r>
        <w:rPr>
          <w:rFonts w:hint="eastAsia"/>
          <w:color w:val="auto"/>
        </w:rPr>
        <w:t>机电设备安装控制应符合下列规定</w:t>
      </w:r>
      <w:r>
        <w:rPr>
          <w:rFonts w:hint="eastAsia"/>
          <w:color w:val="auto"/>
          <w:lang w:eastAsia="zh-CN"/>
        </w:rPr>
        <w:t>：</w:t>
      </w:r>
    </w:p>
    <w:p>
      <w:pPr>
        <w:numPr>
          <w:ilvl w:val="0"/>
          <w:numId w:val="41"/>
        </w:numPr>
        <w:ind w:firstLine="741" w:firstLineChars="309"/>
      </w:pPr>
      <w:r>
        <w:t>生产主管部门应对现场使用的加工工具、试验设备、工作环境和操作人员的资格是否符合规定要求进行检查，并对检查结果负责</w:t>
      </w:r>
      <w:r>
        <w:rPr>
          <w:rFonts w:hint="eastAsia"/>
        </w:rPr>
        <w:t>；</w:t>
      </w:r>
    </w:p>
    <w:p>
      <w:pPr>
        <w:numPr>
          <w:ilvl w:val="0"/>
          <w:numId w:val="41"/>
        </w:numPr>
        <w:ind w:firstLine="741" w:firstLineChars="309"/>
      </w:pPr>
      <w:r>
        <w:t>严格检查所采用的图纸、文件、技术说明书等文件的配套性、有效性</w:t>
      </w:r>
      <w:r>
        <w:rPr>
          <w:rFonts w:hint="eastAsia"/>
        </w:rPr>
        <w:t>，</w:t>
      </w:r>
      <w:r>
        <w:t>然后按工序分配生产任务</w:t>
      </w:r>
      <w:r>
        <w:rPr>
          <w:rFonts w:hint="eastAsia"/>
        </w:rPr>
        <w:t>；</w:t>
      </w:r>
    </w:p>
    <w:p>
      <w:pPr>
        <w:numPr>
          <w:ilvl w:val="0"/>
          <w:numId w:val="41"/>
        </w:numPr>
        <w:ind w:firstLine="741" w:firstLineChars="309"/>
      </w:pPr>
      <w:r>
        <w:rPr>
          <w:rFonts w:hint="eastAsia"/>
          <w:lang w:val="en-US" w:eastAsia="zh-CN"/>
        </w:rPr>
        <w:t>应</w:t>
      </w:r>
      <w:r>
        <w:t>检查核对本次产品需要的零件、部件及各类装配件是否符合图纸要求，产品标识是否记录清楚、完整</w:t>
      </w:r>
      <w:r>
        <w:rPr>
          <w:rFonts w:hint="eastAsia"/>
        </w:rPr>
        <w:t>；</w:t>
      </w:r>
    </w:p>
    <w:p>
      <w:pPr>
        <w:numPr>
          <w:ilvl w:val="0"/>
          <w:numId w:val="41"/>
        </w:numPr>
        <w:ind w:firstLine="741" w:firstLineChars="309"/>
      </w:pPr>
      <w:r>
        <w:rPr>
          <w:rFonts w:hint="eastAsia"/>
          <w:lang w:val="en-US" w:eastAsia="zh-CN"/>
        </w:rPr>
        <w:t>应</w:t>
      </w:r>
      <w:r>
        <w:t>检查各零件、部件的质量记录是否清楚、完整</w:t>
      </w:r>
      <w:r>
        <w:rPr>
          <w:rFonts w:hint="eastAsia"/>
        </w:rPr>
        <w:t>；</w:t>
      </w:r>
    </w:p>
    <w:p>
      <w:pPr>
        <w:numPr>
          <w:ilvl w:val="0"/>
          <w:numId w:val="41"/>
        </w:numPr>
        <w:ind w:firstLine="741" w:firstLineChars="309"/>
      </w:pPr>
      <w:r>
        <w:t>生产工人严格按照图纸和工艺技术文件操作并自检</w:t>
      </w:r>
      <w:r>
        <w:rPr>
          <w:rFonts w:hint="eastAsia"/>
        </w:rPr>
        <w:t>；</w:t>
      </w:r>
    </w:p>
    <w:p>
      <w:pPr>
        <w:numPr>
          <w:ilvl w:val="0"/>
          <w:numId w:val="41"/>
        </w:numPr>
        <w:ind w:firstLine="741" w:firstLineChars="309"/>
      </w:pPr>
      <w:r>
        <w:t>在进行现场设备安装之前，现场工程主管</w:t>
      </w:r>
      <w:r>
        <w:rPr>
          <w:rFonts w:hint="eastAsia"/>
          <w:lang w:val="en-US" w:eastAsia="zh-CN"/>
        </w:rPr>
        <w:t>应</w:t>
      </w:r>
      <w:r>
        <w:t>根据现场实施情况，建立辅助安装工具及辅助材料清单表</w:t>
      </w:r>
      <w:r>
        <w:rPr>
          <w:rFonts w:hint="eastAsia"/>
        </w:rPr>
        <w:t>；</w:t>
      </w:r>
    </w:p>
    <w:p>
      <w:pPr>
        <w:numPr>
          <w:ilvl w:val="0"/>
          <w:numId w:val="41"/>
        </w:numPr>
        <w:ind w:firstLine="741" w:firstLineChars="309"/>
      </w:pPr>
      <w:r>
        <w:t>现场工程师应对现场使用的辅助安装设备工具、器材进行检查，并对检查结果负责</w:t>
      </w:r>
      <w:r>
        <w:rPr>
          <w:rFonts w:hint="eastAsia"/>
        </w:rPr>
        <w:t>；</w:t>
      </w:r>
    </w:p>
    <w:p>
      <w:pPr>
        <w:numPr>
          <w:ilvl w:val="0"/>
          <w:numId w:val="41"/>
        </w:numPr>
        <w:ind w:firstLine="741" w:firstLineChars="309"/>
      </w:pPr>
      <w:r>
        <w:t>现场工程师在进行具体的设备安装之前，应对其进行质量检验，出现问题的设备</w:t>
      </w:r>
      <w:r>
        <w:rPr>
          <w:rFonts w:hint="eastAsia"/>
          <w:lang w:val="en-US" w:eastAsia="zh-CN"/>
        </w:rPr>
        <w:t>必须</w:t>
      </w:r>
      <w:r>
        <w:t>立即处理</w:t>
      </w:r>
      <w:r>
        <w:rPr>
          <w:rFonts w:hint="eastAsia"/>
        </w:rPr>
        <w:t>；</w:t>
      </w:r>
    </w:p>
    <w:p>
      <w:pPr>
        <w:numPr>
          <w:ilvl w:val="0"/>
          <w:numId w:val="41"/>
        </w:numPr>
        <w:ind w:firstLine="741" w:firstLineChars="309"/>
      </w:pPr>
      <w:r>
        <w:t>现场工程师严格按照设备安装技术文件、作业指导书，进行设备安装，并自检</w:t>
      </w:r>
      <w:r>
        <w:rPr>
          <w:rFonts w:hint="eastAsia"/>
          <w:lang w:eastAsia="zh-CN"/>
        </w:rPr>
        <w:t>。</w:t>
      </w:r>
    </w:p>
    <w:p>
      <w:pPr>
        <w:numPr>
          <w:ilvl w:val="0"/>
          <w:numId w:val="39"/>
        </w:numPr>
        <w:tabs>
          <w:tab w:val="left" w:pos="0"/>
          <w:tab w:val="clear" w:pos="420"/>
        </w:tabs>
        <w:ind w:firstLine="374" w:firstLineChars="0"/>
        <w:rPr>
          <w:color w:val="auto"/>
        </w:rPr>
      </w:pPr>
      <w:r>
        <w:rPr>
          <w:rFonts w:hint="eastAsia"/>
          <w:color w:val="auto"/>
        </w:rPr>
        <w:t>工程调试控制应符合下列规定</w:t>
      </w:r>
      <w:r>
        <w:rPr>
          <w:rFonts w:hint="eastAsia"/>
          <w:color w:val="auto"/>
          <w:lang w:eastAsia="zh-CN"/>
        </w:rPr>
        <w:t>：</w:t>
      </w:r>
    </w:p>
    <w:p>
      <w:pPr>
        <w:numPr>
          <w:ilvl w:val="0"/>
          <w:numId w:val="42"/>
        </w:numPr>
        <w:ind w:firstLine="741" w:firstLineChars="309"/>
      </w:pPr>
      <w:r>
        <w:t>技术工程师</w:t>
      </w:r>
      <w:r>
        <w:rPr>
          <w:rFonts w:hint="eastAsia"/>
          <w:lang w:val="en-US" w:eastAsia="zh-CN"/>
        </w:rPr>
        <w:t>应</w:t>
      </w:r>
      <w:r>
        <w:t>根据现场情况建立系统测试手册，落实测试内容，测试数据要求，并对测试结果负责</w:t>
      </w:r>
      <w:r>
        <w:rPr>
          <w:rFonts w:hint="eastAsia"/>
        </w:rPr>
        <w:t>；</w:t>
      </w:r>
    </w:p>
    <w:p>
      <w:pPr>
        <w:numPr>
          <w:ilvl w:val="0"/>
          <w:numId w:val="42"/>
        </w:numPr>
        <w:ind w:firstLine="741" w:firstLineChars="309"/>
      </w:pPr>
      <w:r>
        <w:rPr>
          <w:rFonts w:hint="eastAsia"/>
          <w:lang w:val="en-US" w:eastAsia="zh-CN"/>
        </w:rPr>
        <w:t>应</w:t>
      </w:r>
      <w:r>
        <w:t>对系统按照硬件、软件单独功能测试和系统逻辑测试</w:t>
      </w:r>
      <w:r>
        <w:rPr>
          <w:rFonts w:hint="eastAsia"/>
        </w:rPr>
        <w:t>；</w:t>
      </w:r>
    </w:p>
    <w:p>
      <w:pPr>
        <w:numPr>
          <w:ilvl w:val="0"/>
          <w:numId w:val="42"/>
        </w:numPr>
        <w:ind w:firstLine="741" w:firstLineChars="309"/>
      </w:pPr>
      <w:r>
        <w:t>技术工程师</w:t>
      </w:r>
      <w:r>
        <w:rPr>
          <w:rFonts w:hint="eastAsia"/>
          <w:lang w:val="en-US" w:eastAsia="zh-CN"/>
        </w:rPr>
        <w:t>应</w:t>
      </w:r>
      <w:r>
        <w:t>对系统的组成设备进行单独功能调试，并建立调试记录</w:t>
      </w:r>
      <w:r>
        <w:rPr>
          <w:rFonts w:hint="eastAsia"/>
        </w:rPr>
        <w:t>；</w:t>
      </w:r>
    </w:p>
    <w:p>
      <w:pPr>
        <w:numPr>
          <w:ilvl w:val="0"/>
          <w:numId w:val="42"/>
        </w:numPr>
        <w:ind w:firstLine="741" w:firstLineChars="309"/>
      </w:pPr>
      <w:r>
        <w:t>所有硬件设备功能正常时，可以进行系统联调或者子系统联调，并对调试过程加以记录</w:t>
      </w:r>
      <w:r>
        <w:rPr>
          <w:rFonts w:hint="eastAsia"/>
        </w:rPr>
        <w:t>；</w:t>
      </w:r>
    </w:p>
    <w:p>
      <w:pPr>
        <w:numPr>
          <w:ilvl w:val="0"/>
          <w:numId w:val="42"/>
        </w:numPr>
        <w:ind w:firstLine="741" w:firstLineChars="309"/>
        <w:rPr>
          <w:color w:val="auto"/>
        </w:rPr>
      </w:pPr>
      <w:r>
        <w:rPr>
          <w:color w:val="auto"/>
        </w:rPr>
        <w:t>技术工程师</w:t>
      </w:r>
      <w:r>
        <w:rPr>
          <w:rFonts w:hint="eastAsia"/>
          <w:color w:val="auto"/>
          <w:lang w:val="en-US" w:eastAsia="zh-CN"/>
        </w:rPr>
        <w:t>应</w:t>
      </w:r>
      <w:r>
        <w:rPr>
          <w:color w:val="auto"/>
        </w:rPr>
        <w:t>按照软件功能说明书，对系统软件进行分系统、分功能调试，测试数据应具有代表性</w:t>
      </w:r>
      <w:r>
        <w:rPr>
          <w:rFonts w:hint="eastAsia"/>
          <w:color w:val="auto"/>
          <w:lang w:eastAsia="zh-CN"/>
        </w:rPr>
        <w:t>；</w:t>
      </w:r>
    </w:p>
    <w:p>
      <w:pPr>
        <w:numPr>
          <w:ilvl w:val="0"/>
          <w:numId w:val="42"/>
        </w:numPr>
        <w:ind w:firstLine="741" w:firstLineChars="309"/>
      </w:pPr>
      <w:r>
        <w:t>当确认软件功能正常后，</w:t>
      </w:r>
      <w:r>
        <w:rPr>
          <w:rFonts w:hint="eastAsia"/>
          <w:lang w:val="en-US" w:eastAsia="zh-CN"/>
        </w:rPr>
        <w:t>应</w:t>
      </w:r>
      <w:r>
        <w:t>进行软件稳定性测试，并建立测试记录</w:t>
      </w:r>
      <w:r>
        <w:rPr>
          <w:rFonts w:hint="eastAsia"/>
        </w:rPr>
        <w:t>；</w:t>
      </w:r>
    </w:p>
    <w:p>
      <w:pPr>
        <w:numPr>
          <w:ilvl w:val="0"/>
          <w:numId w:val="42"/>
        </w:numPr>
        <w:ind w:firstLine="741" w:firstLineChars="309"/>
      </w:pPr>
      <w:r>
        <w:t>硬件、软件单独测试完成后，</w:t>
      </w:r>
      <w:r>
        <w:rPr>
          <w:rFonts w:hint="eastAsia"/>
          <w:lang w:val="en-US" w:eastAsia="zh-CN"/>
        </w:rPr>
        <w:t>应</w:t>
      </w:r>
      <w:r>
        <w:t>将硬件、软件进行整体调试，对系统整体的逻辑功能进行评定</w:t>
      </w:r>
      <w:r>
        <w:rPr>
          <w:rFonts w:hint="eastAsia"/>
        </w:rPr>
        <w:t>；</w:t>
      </w:r>
    </w:p>
    <w:p>
      <w:pPr>
        <w:numPr>
          <w:ilvl w:val="0"/>
          <w:numId w:val="42"/>
        </w:numPr>
        <w:ind w:firstLine="741" w:firstLineChars="309"/>
      </w:pPr>
      <w:r>
        <w:t>系统连续运行一定时间，</w:t>
      </w:r>
      <w:r>
        <w:rPr>
          <w:rFonts w:hint="eastAsia"/>
          <w:lang w:val="en-US" w:eastAsia="zh-CN"/>
        </w:rPr>
        <w:t>应</w:t>
      </w:r>
      <w:r>
        <w:t>考验系统在各种情况下的稳定性。</w:t>
      </w:r>
    </w:p>
    <w:p>
      <w:pPr>
        <w:numPr>
          <w:ilvl w:val="0"/>
          <w:numId w:val="39"/>
        </w:numPr>
        <w:tabs>
          <w:tab w:val="left" w:pos="0"/>
          <w:tab w:val="clear" w:pos="420"/>
        </w:tabs>
        <w:ind w:firstLine="374" w:firstLineChars="0"/>
      </w:pPr>
      <w:r>
        <w:rPr>
          <w:szCs w:val="24"/>
        </w:rPr>
        <w:t>完工项目的检验和试验控制</w:t>
      </w:r>
      <w:r>
        <w:rPr>
          <w:rFonts w:hint="eastAsia"/>
          <w:color w:val="auto"/>
        </w:rPr>
        <w:t>应符合下列规定</w:t>
      </w:r>
      <w:r>
        <w:rPr>
          <w:rFonts w:hint="eastAsia"/>
          <w:color w:val="auto"/>
          <w:lang w:eastAsia="zh-CN"/>
        </w:rPr>
        <w:t>：</w:t>
      </w:r>
    </w:p>
    <w:p>
      <w:pPr>
        <w:numPr>
          <w:ilvl w:val="0"/>
          <w:numId w:val="43"/>
        </w:numPr>
        <w:ind w:firstLine="741" w:firstLineChars="309"/>
      </w:pPr>
      <w:r>
        <w:rPr>
          <w:rFonts w:hint="eastAsia"/>
        </w:rPr>
        <w:t>最终</w:t>
      </w:r>
      <w:r>
        <w:t>产品的检验，应在确认最终产品检验前的所有工序已全部完成，各项检验和试验全部合格的情况下进行</w:t>
      </w:r>
      <w:r>
        <w:rPr>
          <w:rFonts w:hint="eastAsia"/>
        </w:rPr>
        <w:t>；</w:t>
      </w:r>
    </w:p>
    <w:p>
      <w:pPr>
        <w:numPr>
          <w:ilvl w:val="0"/>
          <w:numId w:val="43"/>
        </w:numPr>
        <w:ind w:firstLine="741" w:firstLineChars="309"/>
      </w:pPr>
      <w:r>
        <w:rPr>
          <w:rFonts w:hint="eastAsia"/>
        </w:rPr>
        <w:t>最终</w:t>
      </w:r>
      <w:r>
        <w:t>检验所用检验或试验设备、量具均应经周期鉴定合格，并在规定的合格使用期内，其精度应满足该产品检验、试验规定的要求</w:t>
      </w:r>
      <w:r>
        <w:rPr>
          <w:rFonts w:hint="eastAsia"/>
        </w:rPr>
        <w:t>；</w:t>
      </w:r>
    </w:p>
    <w:p>
      <w:pPr>
        <w:numPr>
          <w:ilvl w:val="0"/>
          <w:numId w:val="43"/>
        </w:numPr>
        <w:ind w:firstLine="741" w:firstLineChars="309"/>
      </w:pPr>
      <w:r>
        <w:rPr>
          <w:rFonts w:hint="eastAsia"/>
        </w:rPr>
        <w:t>检验员</w:t>
      </w:r>
      <w:r>
        <w:t>必须经考核合格，持上岗证</w:t>
      </w:r>
      <w:r>
        <w:rPr>
          <w:rFonts w:hint="eastAsia"/>
        </w:rPr>
        <w:t>；</w:t>
      </w:r>
    </w:p>
    <w:p>
      <w:pPr>
        <w:numPr>
          <w:ilvl w:val="0"/>
          <w:numId w:val="43"/>
        </w:numPr>
        <w:ind w:firstLine="741" w:firstLineChars="309"/>
      </w:pPr>
      <w:r>
        <w:t>检验、试验环境条件必须满足相应技术文件中队检验、试验的要求</w:t>
      </w:r>
      <w:r>
        <w:rPr>
          <w:rFonts w:hint="eastAsia"/>
        </w:rPr>
        <w:t>；</w:t>
      </w:r>
    </w:p>
    <w:p>
      <w:pPr>
        <w:numPr>
          <w:ilvl w:val="0"/>
          <w:numId w:val="43"/>
        </w:numPr>
        <w:ind w:firstLine="741" w:firstLineChars="309"/>
      </w:pPr>
      <w:r>
        <w:t>对最终产品</w:t>
      </w:r>
      <w:r>
        <w:rPr>
          <w:rFonts w:hint="eastAsia"/>
          <w:lang w:val="en-US" w:eastAsia="zh-CN"/>
        </w:rPr>
        <w:t>应</w:t>
      </w:r>
      <w:r>
        <w:t>进行100%检验</w:t>
      </w:r>
      <w:r>
        <w:rPr>
          <w:rFonts w:hint="eastAsia"/>
        </w:rPr>
        <w:t>；</w:t>
      </w:r>
    </w:p>
    <w:p>
      <w:pPr>
        <w:numPr>
          <w:ilvl w:val="0"/>
          <w:numId w:val="43"/>
        </w:numPr>
        <w:ind w:firstLine="741" w:firstLineChars="309"/>
      </w:pPr>
      <w:r>
        <w:rPr>
          <w:rFonts w:hint="eastAsia"/>
        </w:rPr>
        <w:t>检验员</w:t>
      </w:r>
      <w:r>
        <w:rPr>
          <w:rFonts w:hint="eastAsia"/>
          <w:lang w:val="en-US" w:eastAsia="zh-CN"/>
        </w:rPr>
        <w:t>应</w:t>
      </w:r>
      <w:r>
        <w:t>按规定填写</w:t>
      </w:r>
      <w:r>
        <w:rPr>
          <w:rFonts w:hint="eastAsia"/>
        </w:rPr>
        <w:t>“</w:t>
      </w:r>
      <w:r>
        <w:t>产品最终检验（试验）单</w:t>
      </w:r>
      <w:r>
        <w:rPr>
          <w:rFonts w:hint="eastAsia"/>
        </w:rPr>
        <w:t>”</w:t>
      </w:r>
      <w:r>
        <w:t>，</w:t>
      </w:r>
      <w:r>
        <w:rPr>
          <w:color w:val="auto"/>
          <w:highlight w:val="none"/>
        </w:rPr>
        <w:t>并检查</w:t>
      </w:r>
      <w:r>
        <w:rPr>
          <w:rFonts w:hint="eastAsia"/>
          <w:color w:val="auto"/>
          <w:highlight w:val="none"/>
          <w:lang w:val="en-US" w:eastAsia="zh-CN"/>
        </w:rPr>
        <w:t>各</w:t>
      </w:r>
      <w:r>
        <w:rPr>
          <w:color w:val="auto"/>
          <w:highlight w:val="none"/>
        </w:rPr>
        <w:t>个工序检验、试验的合格记录和标识</w:t>
      </w:r>
      <w:r>
        <w:t>。如发现产品不具备最终检验条件，检验员有权拒绝检验，通过检验部门负责人向质量管理小组报告</w:t>
      </w:r>
      <w:r>
        <w:rPr>
          <w:rFonts w:hint="eastAsia"/>
        </w:rPr>
        <w:t>；</w:t>
      </w:r>
    </w:p>
    <w:p>
      <w:pPr>
        <w:numPr>
          <w:ilvl w:val="0"/>
          <w:numId w:val="43"/>
        </w:numPr>
        <w:ind w:firstLine="741" w:firstLineChars="309"/>
      </w:pPr>
      <w:r>
        <w:rPr>
          <w:rFonts w:hint="eastAsia"/>
        </w:rPr>
        <w:t>检验员</w:t>
      </w:r>
      <w:r>
        <w:rPr>
          <w:rFonts w:hint="eastAsia"/>
          <w:lang w:val="en-US" w:eastAsia="zh-CN"/>
        </w:rPr>
        <w:t>应</w:t>
      </w:r>
      <w:r>
        <w:t>按技术文件和工艺文件的要求，逐项进行检验。</w:t>
      </w:r>
      <w:r>
        <w:rPr>
          <w:rFonts w:hint="eastAsia"/>
          <w:lang w:eastAsia="zh-CN"/>
        </w:rPr>
        <w:t>应</w:t>
      </w:r>
      <w:r>
        <w:t>正确判定产品合格与否。</w:t>
      </w:r>
      <w:r>
        <w:rPr>
          <w:rFonts w:hint="eastAsia"/>
          <w:lang w:eastAsia="zh-CN"/>
        </w:rPr>
        <w:t>应</w:t>
      </w:r>
      <w:r>
        <w:t>将检验实际结果填入检验报告，并作好标识</w:t>
      </w:r>
      <w:r>
        <w:rPr>
          <w:rFonts w:hint="eastAsia"/>
          <w:lang w:eastAsia="zh-CN"/>
        </w:rPr>
        <w:t>。</w:t>
      </w:r>
      <w:r>
        <w:t>对经检验、试验合格的产品，检验测试中心</w:t>
      </w:r>
      <w:r>
        <w:rPr>
          <w:rFonts w:hint="eastAsia"/>
          <w:lang w:eastAsia="zh-CN"/>
        </w:rPr>
        <w:t>应</w:t>
      </w:r>
      <w:r>
        <w:t>签发合格证</w:t>
      </w:r>
      <w:r>
        <w:rPr>
          <w:rFonts w:hint="eastAsia"/>
        </w:rPr>
        <w:t>；</w:t>
      </w:r>
    </w:p>
    <w:p>
      <w:pPr>
        <w:numPr>
          <w:ilvl w:val="0"/>
          <w:numId w:val="43"/>
        </w:numPr>
        <w:ind w:firstLine="741" w:firstLineChars="309"/>
      </w:pPr>
      <w:r>
        <w:rPr>
          <w:rFonts w:hint="eastAsia"/>
        </w:rPr>
        <w:t>检验</w:t>
      </w:r>
      <w:r>
        <w:t>测试中心</w:t>
      </w:r>
      <w:r>
        <w:rPr>
          <w:rFonts w:hint="eastAsia"/>
          <w:lang w:val="en-US" w:eastAsia="zh-CN"/>
        </w:rPr>
        <w:t>应</w:t>
      </w:r>
      <w:r>
        <w:t>按合同要求作安全试验、环境试验、可靠性试验</w:t>
      </w:r>
      <w:r>
        <w:rPr>
          <w:rFonts w:hint="eastAsia"/>
          <w:lang w:eastAsia="zh-CN"/>
        </w:rPr>
        <w:t>，</w:t>
      </w:r>
      <w:r>
        <w:t>电磁兼容试验的产品可委托有关单位完成试验工作，并由该试验单位提供完整的试验报告</w:t>
      </w:r>
      <w:r>
        <w:rPr>
          <w:rFonts w:hint="eastAsia"/>
        </w:rPr>
        <w:t>；</w:t>
      </w:r>
    </w:p>
    <w:p>
      <w:pPr>
        <w:numPr>
          <w:ilvl w:val="0"/>
          <w:numId w:val="43"/>
        </w:numPr>
        <w:ind w:firstLine="741" w:firstLineChars="309"/>
      </w:pPr>
      <w:r>
        <w:t>经检验、试验不合格的产品，检验员</w:t>
      </w:r>
      <w:r>
        <w:rPr>
          <w:rFonts w:hint="eastAsia"/>
          <w:lang w:val="en-US" w:eastAsia="zh-CN"/>
        </w:rPr>
        <w:t>应</w:t>
      </w:r>
      <w:r>
        <w:t>做好标识后，将实物加以隔离，做好记录，填写</w:t>
      </w:r>
      <w:r>
        <w:rPr>
          <w:rFonts w:hint="eastAsia"/>
        </w:rPr>
        <w:t>“</w:t>
      </w:r>
      <w:r>
        <w:t>不合格品报告</w:t>
      </w:r>
      <w:r>
        <w:rPr>
          <w:rFonts w:hint="eastAsia"/>
        </w:rPr>
        <w:t>”</w:t>
      </w:r>
      <w:r>
        <w:t>，写明不合格项目，报不合格品审理组织</w:t>
      </w:r>
      <w:r>
        <w:rPr>
          <w:rFonts w:hint="eastAsia"/>
        </w:rPr>
        <w:t>；</w:t>
      </w:r>
    </w:p>
    <w:p>
      <w:pPr>
        <w:numPr>
          <w:ilvl w:val="0"/>
          <w:numId w:val="43"/>
        </w:numPr>
        <w:ind w:firstLine="741" w:firstLineChars="309"/>
      </w:pPr>
      <w:r>
        <w:rPr>
          <w:rFonts w:hint="eastAsia"/>
        </w:rPr>
        <w:t>返工</w:t>
      </w:r>
      <w:r>
        <w:t>和返修后的产品，</w:t>
      </w:r>
      <w:r>
        <w:rPr>
          <w:rFonts w:hint="eastAsia"/>
          <w:lang w:val="en-US" w:eastAsia="zh-CN"/>
        </w:rPr>
        <w:t>应</w:t>
      </w:r>
      <w:r>
        <w:t>重新检验</w:t>
      </w:r>
      <w:r>
        <w:rPr>
          <w:rFonts w:hint="eastAsia"/>
          <w:lang w:val="en-US" w:eastAsia="zh-CN"/>
        </w:rPr>
        <w:t>产品的质量</w:t>
      </w:r>
      <w:r>
        <w:rPr>
          <w:rFonts w:hint="eastAsia"/>
          <w:lang w:eastAsia="zh-CN"/>
        </w:rPr>
        <w:t>。</w:t>
      </w:r>
    </w:p>
    <w:p>
      <w:pPr>
        <w:numPr>
          <w:ilvl w:val="0"/>
          <w:numId w:val="39"/>
        </w:numPr>
        <w:tabs>
          <w:tab w:val="left" w:pos="0"/>
          <w:tab w:val="clear" w:pos="420"/>
        </w:tabs>
        <w:ind w:firstLine="374" w:firstLineChars="0"/>
        <w:rPr>
          <w:color w:val="auto"/>
        </w:rPr>
      </w:pPr>
      <w:r>
        <w:rPr>
          <w:rFonts w:hint="eastAsia"/>
          <w:color w:val="auto"/>
        </w:rPr>
        <w:t>搬运</w:t>
      </w:r>
      <w:r>
        <w:rPr>
          <w:color w:val="auto"/>
        </w:rPr>
        <w:t>、包装、防护和交付控制</w:t>
      </w:r>
      <w:r>
        <w:rPr>
          <w:rFonts w:hint="eastAsia"/>
          <w:color w:val="auto"/>
        </w:rPr>
        <w:t>应符合下列规定</w:t>
      </w:r>
      <w:r>
        <w:rPr>
          <w:rFonts w:hint="eastAsia"/>
          <w:color w:val="auto"/>
          <w:lang w:eastAsia="zh-CN"/>
        </w:rPr>
        <w:t>：</w:t>
      </w:r>
    </w:p>
    <w:p>
      <w:pPr>
        <w:numPr>
          <w:ilvl w:val="0"/>
          <w:numId w:val="44"/>
        </w:numPr>
        <w:ind w:firstLine="741" w:firstLineChars="309"/>
      </w:pPr>
      <w:r>
        <w:rPr>
          <w:rFonts w:hint="eastAsia"/>
        </w:rPr>
        <w:t>物资</w:t>
      </w:r>
      <w:r>
        <w:t>采购部门</w:t>
      </w:r>
      <w:r>
        <w:rPr>
          <w:rFonts w:hint="eastAsia"/>
          <w:lang w:val="en-US" w:eastAsia="zh-CN"/>
        </w:rPr>
        <w:t>宜</w:t>
      </w:r>
      <w:r>
        <w:t>负责外购产品的搬运</w:t>
      </w:r>
      <w:r>
        <w:rPr>
          <w:rFonts w:hint="eastAsia"/>
        </w:rPr>
        <w:t>；</w:t>
      </w:r>
    </w:p>
    <w:p>
      <w:pPr>
        <w:numPr>
          <w:ilvl w:val="0"/>
          <w:numId w:val="44"/>
        </w:numPr>
        <w:ind w:firstLine="741" w:firstLineChars="309"/>
        <w:rPr>
          <w:color w:val="auto"/>
          <w:highlight w:val="none"/>
          <w:shd w:val="clear" w:color="auto" w:fill="auto"/>
        </w:rPr>
      </w:pPr>
      <w:r>
        <w:rPr>
          <w:rFonts w:hint="eastAsia"/>
          <w:color w:val="auto"/>
          <w:highlight w:val="none"/>
          <w:shd w:val="clear" w:color="auto" w:fill="auto"/>
          <w:lang w:val="en-US" w:eastAsia="zh-CN"/>
        </w:rPr>
        <w:t>应</w:t>
      </w:r>
      <w:r>
        <w:rPr>
          <w:rFonts w:hint="eastAsia"/>
          <w:color w:val="auto"/>
          <w:highlight w:val="none"/>
          <w:shd w:val="clear" w:color="auto" w:fill="auto"/>
        </w:rPr>
        <w:t>使用</w:t>
      </w:r>
      <w:r>
        <w:rPr>
          <w:color w:val="auto"/>
          <w:highlight w:val="none"/>
          <w:shd w:val="clear" w:color="auto" w:fill="auto"/>
        </w:rPr>
        <w:t>与产品相适应的搬运工具</w:t>
      </w:r>
      <w:r>
        <w:rPr>
          <w:rFonts w:hint="eastAsia"/>
          <w:color w:val="auto"/>
          <w:highlight w:val="none"/>
          <w:shd w:val="clear" w:color="auto" w:fill="auto"/>
          <w:lang w:eastAsia="zh-CN"/>
        </w:rPr>
        <w:t>；</w:t>
      </w:r>
    </w:p>
    <w:p>
      <w:pPr>
        <w:numPr>
          <w:ilvl w:val="0"/>
          <w:numId w:val="44"/>
        </w:numPr>
        <w:ind w:firstLine="741" w:firstLineChars="309"/>
      </w:pPr>
      <w:r>
        <w:t>对产品应有相应的保护措施</w:t>
      </w:r>
      <w:r>
        <w:rPr>
          <w:rFonts w:hint="eastAsia"/>
          <w:lang w:eastAsia="zh-CN"/>
        </w:rPr>
        <w:t>，</w:t>
      </w:r>
      <w:r>
        <w:rPr>
          <w:rFonts w:hint="eastAsia"/>
          <w:lang w:val="en-US" w:eastAsia="zh-CN"/>
        </w:rPr>
        <w:t>并</w:t>
      </w:r>
      <w:r>
        <w:t>给出醒目的识别标志；</w:t>
      </w:r>
    </w:p>
    <w:p>
      <w:pPr>
        <w:numPr>
          <w:ilvl w:val="0"/>
          <w:numId w:val="44"/>
        </w:numPr>
        <w:ind w:firstLine="741" w:firstLineChars="309"/>
      </w:pPr>
      <w:r>
        <w:t>当产品在搬运过程中需要通过有污染的环境时，应根据环境的情况，采取适当的防护措施</w:t>
      </w:r>
      <w:r>
        <w:rPr>
          <w:rFonts w:hint="eastAsia"/>
          <w:lang w:eastAsia="zh-CN"/>
        </w:rPr>
        <w:t>；</w:t>
      </w:r>
    </w:p>
    <w:p>
      <w:pPr>
        <w:numPr>
          <w:ilvl w:val="0"/>
          <w:numId w:val="44"/>
        </w:numPr>
        <w:ind w:firstLine="741" w:firstLineChars="309"/>
      </w:pPr>
      <w:r>
        <w:rPr>
          <w:rFonts w:hint="eastAsia"/>
        </w:rPr>
        <w:t>搬运</w:t>
      </w:r>
      <w:r>
        <w:t>过程中，保护产品的标识不</w:t>
      </w:r>
      <w:r>
        <w:rPr>
          <w:rFonts w:hint="eastAsia"/>
          <w:lang w:val="en-US" w:eastAsia="zh-CN"/>
        </w:rPr>
        <w:t>得</w:t>
      </w:r>
      <w:r>
        <w:t>被损坏</w:t>
      </w:r>
      <w:r>
        <w:rPr>
          <w:rFonts w:hint="eastAsia"/>
        </w:rPr>
        <w:t>；</w:t>
      </w:r>
    </w:p>
    <w:p>
      <w:pPr>
        <w:numPr>
          <w:ilvl w:val="0"/>
          <w:numId w:val="44"/>
        </w:numPr>
        <w:ind w:firstLine="741" w:firstLineChars="309"/>
      </w:pPr>
      <w:r>
        <w:t>视产品的体积、重量、精密程度等</w:t>
      </w:r>
      <w:r>
        <w:rPr>
          <w:rFonts w:hint="eastAsia"/>
        </w:rPr>
        <w:t>宜</w:t>
      </w:r>
      <w:r>
        <w:t>选用不同的包装方式</w:t>
      </w:r>
      <w:r>
        <w:rPr>
          <w:rFonts w:hint="eastAsia"/>
        </w:rPr>
        <w:t>；</w:t>
      </w:r>
    </w:p>
    <w:p>
      <w:pPr>
        <w:numPr>
          <w:ilvl w:val="0"/>
          <w:numId w:val="44"/>
        </w:numPr>
        <w:ind w:firstLine="741" w:firstLineChars="309"/>
      </w:pPr>
      <w:r>
        <w:rPr>
          <w:rFonts w:hint="eastAsia"/>
        </w:rPr>
        <w:t>精密</w:t>
      </w:r>
      <w:r>
        <w:t>或者易碰伤、变形或者特殊的零部件以及元器件应按要求分别包装或使用专用包装箱</w:t>
      </w:r>
      <w:r>
        <w:rPr>
          <w:rFonts w:hint="eastAsia"/>
        </w:rPr>
        <w:t>；</w:t>
      </w:r>
    </w:p>
    <w:p>
      <w:pPr>
        <w:numPr>
          <w:ilvl w:val="0"/>
          <w:numId w:val="44"/>
        </w:numPr>
        <w:ind w:firstLine="741" w:firstLineChars="309"/>
      </w:pPr>
      <w:r>
        <w:rPr>
          <w:rFonts w:hint="eastAsia"/>
        </w:rPr>
        <w:t>包装箱</w:t>
      </w:r>
      <w:r>
        <w:t>应符合防雨、防尘、防潮、防震的要求，包装箱内应装有装箱清单、检验合格证、备附件及有关文件</w:t>
      </w:r>
      <w:r>
        <w:rPr>
          <w:rFonts w:hint="eastAsia"/>
        </w:rPr>
        <w:t>；</w:t>
      </w:r>
    </w:p>
    <w:p>
      <w:pPr>
        <w:numPr>
          <w:ilvl w:val="0"/>
          <w:numId w:val="44"/>
        </w:numPr>
        <w:ind w:firstLine="741" w:firstLineChars="309"/>
      </w:pPr>
      <w:r>
        <w:t>封箱前</w:t>
      </w:r>
      <w:r>
        <w:rPr>
          <w:rFonts w:hint="eastAsia"/>
          <w:lang w:val="en-US" w:eastAsia="zh-CN"/>
        </w:rPr>
        <w:t>应</w:t>
      </w:r>
      <w:r>
        <w:t>检查包装及装箱情况，按装箱单确认品种、规格、数量、配套包装等</w:t>
      </w:r>
      <w:r>
        <w:rPr>
          <w:rFonts w:hint="eastAsia"/>
          <w:lang w:val="en-US" w:eastAsia="zh-CN"/>
        </w:rPr>
        <w:t>是否</w:t>
      </w:r>
      <w:r>
        <w:t>符合要求</w:t>
      </w:r>
      <w:r>
        <w:rPr>
          <w:rFonts w:hint="eastAsia"/>
        </w:rPr>
        <w:t>；</w:t>
      </w:r>
    </w:p>
    <w:p>
      <w:pPr>
        <w:numPr>
          <w:ilvl w:val="0"/>
          <w:numId w:val="44"/>
        </w:numPr>
        <w:ind w:firstLine="741" w:firstLineChars="309"/>
      </w:pPr>
      <w:r>
        <w:rPr>
          <w:rFonts w:hint="eastAsia"/>
        </w:rPr>
        <w:t>产品</w:t>
      </w:r>
      <w:r>
        <w:t>包装箱外面应挂标签或按规定标记，包装箱外喷刷或粘贴的标志</w:t>
      </w:r>
      <w:r>
        <w:rPr>
          <w:rFonts w:hint="eastAsia"/>
          <w:lang w:val="en-US" w:eastAsia="zh-CN"/>
        </w:rPr>
        <w:t>不得</w:t>
      </w:r>
      <w:r>
        <w:t>因运输条件和自然条件而褪色、变色和脱落</w:t>
      </w:r>
      <w:r>
        <w:rPr>
          <w:rFonts w:hint="eastAsia"/>
        </w:rPr>
        <w:t>；</w:t>
      </w:r>
    </w:p>
    <w:p>
      <w:pPr>
        <w:numPr>
          <w:ilvl w:val="0"/>
          <w:numId w:val="44"/>
        </w:numPr>
        <w:ind w:firstLine="741" w:firstLineChars="309"/>
      </w:pPr>
      <w:r>
        <w:t>产品的交付</w:t>
      </w:r>
      <w:r>
        <w:rPr>
          <w:rFonts w:hint="eastAsia"/>
          <w:lang w:val="en-US" w:eastAsia="zh-CN"/>
        </w:rPr>
        <w:t>应</w:t>
      </w:r>
      <w:r>
        <w:t>由质量管理小组组织实施，产品交付部门填写</w:t>
      </w:r>
      <w:r>
        <w:rPr>
          <w:rFonts w:hint="eastAsia"/>
        </w:rPr>
        <w:t>“</w:t>
      </w:r>
      <w:r>
        <w:t>产品交付记录表</w:t>
      </w:r>
      <w:r>
        <w:rPr>
          <w:rFonts w:hint="eastAsia"/>
        </w:rPr>
        <w:t>”</w:t>
      </w:r>
      <w:r>
        <w:t>，交质量管理小组保存，并归档</w:t>
      </w:r>
      <w:r>
        <w:rPr>
          <w:rFonts w:hint="eastAsia"/>
        </w:rPr>
        <w:t>；</w:t>
      </w:r>
    </w:p>
    <w:p>
      <w:pPr>
        <w:numPr>
          <w:ilvl w:val="0"/>
          <w:numId w:val="44"/>
        </w:numPr>
        <w:ind w:firstLine="741" w:firstLineChars="309"/>
      </w:pPr>
      <w:r>
        <w:t>产品最终检验和试验后，交付部门不得改动产品的技术状态，交付时按本程序规定的搬运、贮存、包装和防护要求执行</w:t>
      </w:r>
      <w:r>
        <w:rPr>
          <w:rFonts w:hint="eastAsia"/>
        </w:rPr>
        <w:t>；</w:t>
      </w:r>
    </w:p>
    <w:p>
      <w:pPr>
        <w:numPr>
          <w:ilvl w:val="0"/>
          <w:numId w:val="44"/>
        </w:numPr>
        <w:ind w:firstLine="741" w:firstLineChars="309"/>
      </w:pPr>
      <w:r>
        <w:t>交付时，文件应齐全，主要包括技术说明书、操作、使用、维护手册，有关图纸资料等</w:t>
      </w:r>
      <w:r>
        <w:rPr>
          <w:rFonts w:hint="eastAsia"/>
        </w:rPr>
        <w:t>；</w:t>
      </w:r>
    </w:p>
    <w:p>
      <w:pPr>
        <w:numPr>
          <w:ilvl w:val="0"/>
          <w:numId w:val="44"/>
        </w:numPr>
        <w:ind w:firstLine="741" w:firstLineChars="309"/>
      </w:pPr>
      <w:r>
        <w:t>产品的交付</w:t>
      </w:r>
      <w:r>
        <w:rPr>
          <w:rFonts w:hint="eastAsia"/>
          <w:lang w:val="en-US" w:eastAsia="zh-CN"/>
        </w:rPr>
        <w:t>应</w:t>
      </w:r>
      <w:r>
        <w:t>经使用方或其代表验收合格，并在验收文件上签字，若产品不符合合同规定的要求时，使用方有权拒收</w:t>
      </w:r>
      <w:r>
        <w:rPr>
          <w:rFonts w:hint="eastAsia" w:hAnsi="宋体"/>
        </w:rPr>
        <w:t>；</w:t>
      </w:r>
    </w:p>
    <w:p>
      <w:pPr>
        <w:numPr>
          <w:ilvl w:val="0"/>
          <w:numId w:val="44"/>
        </w:numPr>
        <w:ind w:firstLine="741" w:firstLineChars="309"/>
      </w:pPr>
      <w:r>
        <w:t>交付时，应向使用方提供有关检验和试验结果以及故障排除情况等文件。</w:t>
      </w:r>
    </w:p>
    <w:p>
      <w:pPr>
        <w:numPr>
          <w:ilvl w:val="0"/>
          <w:numId w:val="39"/>
        </w:numPr>
        <w:tabs>
          <w:tab w:val="left" w:pos="0"/>
          <w:tab w:val="clear" w:pos="420"/>
        </w:tabs>
        <w:ind w:firstLine="374" w:firstLineChars="0"/>
        <w:rPr>
          <w:color w:val="auto"/>
        </w:rPr>
      </w:pPr>
      <w:r>
        <w:rPr>
          <w:color w:val="auto"/>
        </w:rPr>
        <w:t>质量记录的控制</w:t>
      </w:r>
      <w:r>
        <w:rPr>
          <w:rFonts w:hint="eastAsia"/>
          <w:color w:val="auto"/>
          <w:lang w:eastAsia="zh-CN"/>
        </w:rPr>
        <w:t>必须</w:t>
      </w:r>
      <w:r>
        <w:rPr>
          <w:rFonts w:hint="eastAsia"/>
          <w:color w:val="auto"/>
        </w:rPr>
        <w:t>符合下列规定</w:t>
      </w:r>
      <w:r>
        <w:rPr>
          <w:rFonts w:hint="eastAsia"/>
          <w:color w:val="auto"/>
          <w:lang w:eastAsia="zh-CN"/>
        </w:rPr>
        <w:t>：</w:t>
      </w:r>
    </w:p>
    <w:p>
      <w:pPr>
        <w:numPr>
          <w:ilvl w:val="0"/>
          <w:numId w:val="45"/>
        </w:numPr>
        <w:ind w:firstLine="741" w:firstLineChars="309"/>
      </w:pPr>
      <w:r>
        <w:rPr>
          <w:rFonts w:ascii="宋体" w:hAnsi="宋体"/>
        </w:rPr>
        <w:t>质量记录必须有能够准确识别的标记</w:t>
      </w:r>
      <w:r>
        <w:rPr>
          <w:rFonts w:hint="eastAsia" w:ascii="宋体" w:hAnsi="宋体"/>
          <w:lang w:eastAsia="zh-CN"/>
        </w:rPr>
        <w:t>，</w:t>
      </w:r>
      <w:r>
        <w:rPr>
          <w:rFonts w:ascii="宋体" w:hAnsi="宋体"/>
        </w:rPr>
        <w:t>必需的质量记录</w:t>
      </w:r>
      <w:r>
        <w:rPr>
          <w:rFonts w:hint="eastAsia" w:ascii="宋体" w:hAnsi="宋体"/>
          <w:lang w:eastAsia="zh-CN"/>
        </w:rPr>
        <w:t>。</w:t>
      </w:r>
      <w:r>
        <w:rPr>
          <w:rFonts w:ascii="宋体" w:hAnsi="宋体"/>
        </w:rPr>
        <w:t>标识标记</w:t>
      </w:r>
      <w:r>
        <w:rPr>
          <w:rFonts w:hint="eastAsia" w:ascii="宋体" w:hAnsi="宋体"/>
          <w:lang w:val="en-US" w:eastAsia="zh-CN"/>
        </w:rPr>
        <w:t>宜</w:t>
      </w:r>
      <w:r>
        <w:rPr>
          <w:rFonts w:ascii="宋体" w:hAnsi="宋体"/>
        </w:rPr>
        <w:t>在报告和记录表的右上方适当位置</w:t>
      </w:r>
      <w:r>
        <w:rPr>
          <w:rFonts w:hint="eastAsia" w:ascii="宋体" w:hAnsi="宋体"/>
        </w:rPr>
        <w:t>；</w:t>
      </w:r>
    </w:p>
    <w:p>
      <w:pPr>
        <w:numPr>
          <w:ilvl w:val="0"/>
          <w:numId w:val="45"/>
        </w:numPr>
        <w:ind w:firstLine="741" w:firstLineChars="309"/>
      </w:pPr>
      <w:r>
        <w:rPr>
          <w:rFonts w:ascii="宋体" w:hAnsi="宋体"/>
        </w:rPr>
        <w:t>质量记录</w:t>
      </w:r>
      <w:r>
        <w:rPr>
          <w:rFonts w:hint="eastAsia" w:ascii="宋体" w:hAnsi="宋体"/>
          <w:lang w:val="en-US" w:eastAsia="zh-CN"/>
        </w:rPr>
        <w:t>应</w:t>
      </w:r>
      <w:r>
        <w:rPr>
          <w:rFonts w:ascii="宋体" w:hAnsi="宋体"/>
        </w:rPr>
        <w:t>指定专人收集和保管。与产品质量有关的记录，由各部门负责收集、整理和保管</w:t>
      </w:r>
      <w:r>
        <w:rPr>
          <w:rFonts w:hint="eastAsia" w:ascii="宋体" w:hAnsi="宋体"/>
        </w:rPr>
        <w:t>；</w:t>
      </w:r>
    </w:p>
    <w:p>
      <w:pPr>
        <w:numPr>
          <w:ilvl w:val="0"/>
          <w:numId w:val="45"/>
        </w:numPr>
        <w:ind w:firstLine="741" w:firstLineChars="309"/>
      </w:pPr>
      <w:r>
        <w:rPr>
          <w:rFonts w:ascii="宋体" w:hAnsi="宋体"/>
        </w:rPr>
        <w:t>质量记录的保存环境</w:t>
      </w:r>
      <w:r>
        <w:rPr>
          <w:rFonts w:hint="eastAsia" w:ascii="宋体" w:hAnsi="宋体"/>
          <w:lang w:val="en-US" w:eastAsia="zh-CN"/>
        </w:rPr>
        <w:t>应</w:t>
      </w:r>
      <w:r>
        <w:rPr>
          <w:rFonts w:ascii="宋体" w:hAnsi="宋体"/>
        </w:rPr>
        <w:t>做到防潮、防火、防虫蛀、防鼠害、保存方法</w:t>
      </w:r>
      <w:r>
        <w:rPr>
          <w:rFonts w:hint="eastAsia" w:ascii="宋体" w:hAnsi="宋体"/>
          <w:lang w:val="en-US" w:eastAsia="zh-CN"/>
        </w:rPr>
        <w:t>应</w:t>
      </w:r>
      <w:r>
        <w:rPr>
          <w:rFonts w:ascii="宋体" w:hAnsi="宋体"/>
        </w:rPr>
        <w:t>便于检索和查阅</w:t>
      </w:r>
      <w:r>
        <w:rPr>
          <w:rFonts w:hint="eastAsia" w:ascii="宋体" w:hAnsi="宋体"/>
        </w:rPr>
        <w:t>；</w:t>
      </w:r>
    </w:p>
    <w:p>
      <w:pPr>
        <w:numPr>
          <w:ilvl w:val="0"/>
          <w:numId w:val="45"/>
        </w:numPr>
        <w:ind w:firstLine="741" w:firstLineChars="309"/>
      </w:pPr>
      <w:r>
        <w:t>硬</w:t>
      </w:r>
      <w:r>
        <w:rPr>
          <w:rFonts w:hint="eastAsia"/>
        </w:rPr>
        <w:t>拷贝</w:t>
      </w:r>
      <w:r>
        <w:t>或者电子媒体形成的质量记录</w:t>
      </w:r>
      <w:r>
        <w:rPr>
          <w:rFonts w:hint="eastAsia"/>
          <w:lang w:val="en-US" w:eastAsia="zh-CN"/>
        </w:rPr>
        <w:t>应</w:t>
      </w:r>
      <w:r>
        <w:t>有适宜的保存环境，防止其信息和数据的丢失和失效</w:t>
      </w:r>
      <w:r>
        <w:rPr>
          <w:rFonts w:hint="eastAsia"/>
        </w:rPr>
        <w:t>；</w:t>
      </w:r>
    </w:p>
    <w:p>
      <w:pPr>
        <w:numPr>
          <w:ilvl w:val="0"/>
          <w:numId w:val="45"/>
        </w:numPr>
        <w:ind w:firstLine="741" w:firstLineChars="309"/>
      </w:pPr>
      <w:r>
        <w:t>根据类别和具体情况，确定各种质量记录的保存期限，保存期限必须满足合同或者质量体系及产品的要求和规定</w:t>
      </w:r>
      <w:r>
        <w:rPr>
          <w:rFonts w:hint="eastAsia"/>
        </w:rPr>
        <w:t>；</w:t>
      </w:r>
    </w:p>
    <w:p>
      <w:pPr>
        <w:numPr>
          <w:ilvl w:val="0"/>
          <w:numId w:val="45"/>
        </w:numPr>
        <w:ind w:firstLine="741" w:firstLineChars="309"/>
      </w:pPr>
      <w:r>
        <w:rPr>
          <w:rFonts w:ascii="宋体" w:hAnsi="宋体"/>
        </w:rPr>
        <w:t>质量管理小组保存的质量记录需查阅时，原则上</w:t>
      </w:r>
      <w:r>
        <w:rPr>
          <w:rFonts w:hint="eastAsia" w:ascii="宋体" w:hAnsi="宋体"/>
          <w:lang w:eastAsia="zh-CN"/>
        </w:rPr>
        <w:t>应</w:t>
      </w:r>
      <w:r>
        <w:rPr>
          <w:rFonts w:ascii="宋体" w:hAnsi="宋体"/>
        </w:rPr>
        <w:t>就地查阅，需暂时借阅者，应向质量管理小组提出，经同意后，方可借阅，应办理借阅登记手续</w:t>
      </w:r>
      <w:r>
        <w:rPr>
          <w:rFonts w:hint="eastAsia" w:ascii="宋体" w:hAnsi="宋体"/>
        </w:rPr>
        <w:t>；</w:t>
      </w:r>
      <w:r>
        <w:rPr>
          <w:rFonts w:ascii="宋体" w:hAnsi="宋体"/>
        </w:rPr>
        <w:t>其它各部门保存的质量记录需要查阅时，</w:t>
      </w:r>
      <w:r>
        <w:rPr>
          <w:rFonts w:hint="eastAsia" w:ascii="宋体" w:hAnsi="宋体"/>
          <w:lang w:eastAsia="zh-CN"/>
        </w:rPr>
        <w:t>宜</w:t>
      </w:r>
      <w:r>
        <w:rPr>
          <w:rFonts w:ascii="宋体" w:hAnsi="宋体"/>
        </w:rPr>
        <w:t>随时就地查阅</w:t>
      </w:r>
      <w:r>
        <w:rPr>
          <w:rFonts w:hint="eastAsia" w:ascii="宋体" w:hAnsi="宋体"/>
        </w:rPr>
        <w:t>；</w:t>
      </w:r>
    </w:p>
    <w:p>
      <w:pPr>
        <w:numPr>
          <w:ilvl w:val="0"/>
          <w:numId w:val="45"/>
        </w:numPr>
        <w:ind w:firstLine="741" w:firstLineChars="309"/>
      </w:pPr>
      <w:r>
        <w:rPr>
          <w:rFonts w:ascii="宋体" w:hAnsi="宋体"/>
        </w:rPr>
        <w:t>超出保存期的质量记录，</w:t>
      </w:r>
      <w:r>
        <w:rPr>
          <w:rFonts w:hint="eastAsia" w:ascii="宋体" w:hAnsi="宋体"/>
          <w:lang w:eastAsia="zh-CN"/>
        </w:rPr>
        <w:t>应</w:t>
      </w:r>
      <w:r>
        <w:rPr>
          <w:rFonts w:ascii="宋体" w:hAnsi="宋体"/>
        </w:rPr>
        <w:t>由质量记录保管部门的主管领导同意后进行处理</w:t>
      </w:r>
      <w:r>
        <w:rPr>
          <w:rFonts w:hint="eastAsia" w:ascii="宋体" w:hAnsi="宋体"/>
        </w:rPr>
        <w:t>；</w:t>
      </w:r>
    </w:p>
    <w:p>
      <w:pPr>
        <w:numPr>
          <w:ilvl w:val="0"/>
          <w:numId w:val="45"/>
        </w:numPr>
        <w:ind w:firstLine="741" w:firstLineChars="309"/>
      </w:pPr>
      <w:r>
        <w:t>质量记录应在统一的规范记录表上填写，要求填写正确，字迹清晰，内容完整，数据准确。质量记录</w:t>
      </w:r>
      <w:r>
        <w:rPr>
          <w:rFonts w:hint="eastAsia"/>
          <w:lang w:eastAsia="zh-CN"/>
        </w:rPr>
        <w:t>应</w:t>
      </w:r>
      <w:r>
        <w:t>有记录人员签名及签署日期，程序文件内列出的质量记录表格由质量管理小组负责汇总、保存</w:t>
      </w:r>
      <w:r>
        <w:rPr>
          <w:rFonts w:hint="eastAsia"/>
        </w:rPr>
        <w:t>；</w:t>
      </w:r>
    </w:p>
    <w:p>
      <w:pPr>
        <w:numPr>
          <w:ilvl w:val="0"/>
          <w:numId w:val="45"/>
        </w:numPr>
        <w:ind w:firstLine="741" w:firstLineChars="309"/>
      </w:pPr>
      <w:r>
        <w:t>需要归档的记录禁止使用铅笔、红墨水笔、纯兰墨水笔、圆珠笔或彩笔填写，不归档的记录</w:t>
      </w:r>
      <w:r>
        <w:rPr>
          <w:rFonts w:hint="eastAsia"/>
          <w:lang w:eastAsia="zh-CN"/>
        </w:rPr>
        <w:t>宜</w:t>
      </w:r>
      <w:r>
        <w:t>使用钢笔和圆珠笔填写，但不得用红圆珠笔填写。</w:t>
      </w:r>
    </w:p>
    <w:p>
      <w:pPr>
        <w:keepNext/>
        <w:keepLines/>
        <w:numPr>
          <w:ilvl w:val="0"/>
          <w:numId w:val="1"/>
        </w:numPr>
        <w:spacing w:after="312" w:afterLines="100" w:line="480" w:lineRule="auto"/>
        <w:jc w:val="center"/>
        <w:outlineLvl w:val="0"/>
        <w:rPr>
          <w:rFonts w:ascii="Times New Roman" w:hAnsi="Times New Roman" w:eastAsia="宋体" w:cstheme="minorBidi"/>
          <w:b/>
          <w:bCs/>
          <w:kern w:val="44"/>
          <w:sz w:val="32"/>
          <w:szCs w:val="44"/>
          <w:lang w:val="en-US" w:eastAsia="zh-CN" w:bidi="ar-SA"/>
        </w:rPr>
      </w:pPr>
      <w:bookmarkStart w:id="94" w:name="_Toc136506069"/>
      <w:bookmarkStart w:id="95" w:name="_Toc136506075"/>
      <w:r>
        <w:rPr>
          <w:rFonts w:hint="eastAsia" w:ascii="Times New Roman" w:hAnsi="Times New Roman" w:eastAsia="宋体" w:cstheme="minorBidi"/>
          <w:b/>
          <w:bCs/>
          <w:kern w:val="44"/>
          <w:sz w:val="32"/>
          <w:szCs w:val="44"/>
          <w:lang w:val="en-US" w:eastAsia="zh-CN" w:bidi="ar-SA"/>
        </w:rPr>
        <w:t>系统管理及维护</w:t>
      </w:r>
      <w:bookmarkEnd w:id="94"/>
    </w:p>
    <w:p>
      <w:pPr>
        <w:keepNext/>
        <w:keepLines/>
        <w:numPr>
          <w:ilvl w:val="1"/>
          <w:numId w:val="1"/>
        </w:numPr>
        <w:spacing w:line="360" w:lineRule="auto"/>
        <w:jc w:val="center"/>
        <w:outlineLvl w:val="1"/>
        <w:rPr>
          <w:rFonts w:ascii="Times New Roman" w:hAnsi="Times New Roman" w:eastAsia="宋体" w:cstheme="majorBidi"/>
          <w:b/>
          <w:bCs/>
          <w:kern w:val="2"/>
          <w:sz w:val="28"/>
          <w:szCs w:val="32"/>
          <w:lang w:val="en-US" w:eastAsia="zh-CN" w:bidi="ar-SA"/>
        </w:rPr>
      </w:pPr>
      <w:bookmarkStart w:id="96" w:name="_Toc134777429"/>
      <w:bookmarkStart w:id="97" w:name="_Toc136506071"/>
      <w:r>
        <w:rPr>
          <w:rFonts w:hint="eastAsia" w:ascii="Times New Roman" w:hAnsi="Times New Roman" w:eastAsia="宋体" w:cstheme="majorBidi"/>
          <w:b/>
          <w:bCs/>
          <w:kern w:val="2"/>
          <w:sz w:val="28"/>
          <w:szCs w:val="32"/>
          <w:lang w:val="en-US" w:eastAsia="zh-CN" w:bidi="ar-SA"/>
        </w:rPr>
        <w:t>一般规定</w:t>
      </w:r>
      <w:bookmarkEnd w:id="96"/>
    </w:p>
    <w:p>
      <w:pPr>
        <w:keepNext/>
        <w:keepLines/>
        <w:widowControl w:val="0"/>
        <w:numPr>
          <w:ilvl w:val="2"/>
          <w:numId w:val="1"/>
        </w:numPr>
        <w:spacing w:line="360" w:lineRule="auto"/>
        <w:ind w:firstLine="200" w:firstLineChars="0"/>
        <w:jc w:val="both"/>
        <w:outlineLvl w:val="2"/>
        <w:rPr>
          <w:rFonts w:ascii="Times New Roman" w:hAnsi="Times New Roman" w:eastAsia="宋体" w:cstheme="minorBidi"/>
          <w:bCs/>
          <w:kern w:val="2"/>
          <w:sz w:val="24"/>
          <w:szCs w:val="32"/>
          <w:highlight w:val="none"/>
          <w:lang w:val="en-US" w:eastAsia="zh-CN" w:bidi="ar-SA"/>
        </w:rPr>
      </w:pPr>
      <w:r>
        <w:rPr>
          <w:rFonts w:hint="eastAsia" w:ascii="Times New Roman" w:hAnsi="Times New Roman" w:eastAsia="宋体" w:cstheme="minorBidi"/>
          <w:bCs/>
          <w:kern w:val="2"/>
          <w:sz w:val="24"/>
          <w:szCs w:val="32"/>
          <w:highlight w:val="none"/>
          <w:lang w:val="en-US" w:eastAsia="zh-CN" w:bidi="ar-SA"/>
        </w:rPr>
        <w:t>监测系统维护应建立专门的管理制度，设置专职管理人员及专项维护资金。</w:t>
      </w:r>
    </w:p>
    <w:p>
      <w:pPr>
        <w:keepNext/>
        <w:keepLines/>
        <w:widowControl w:val="0"/>
        <w:numPr>
          <w:ilvl w:val="2"/>
          <w:numId w:val="1"/>
        </w:numPr>
        <w:spacing w:line="360" w:lineRule="auto"/>
        <w:ind w:firstLine="200" w:firstLineChars="0"/>
        <w:jc w:val="both"/>
        <w:outlineLvl w:val="2"/>
        <w:rPr>
          <w:rFonts w:ascii="Times New Roman" w:hAnsi="Times New Roman" w:eastAsia="宋体" w:cstheme="minorBidi"/>
          <w:bCs/>
          <w:kern w:val="2"/>
          <w:sz w:val="24"/>
          <w:szCs w:val="32"/>
          <w:highlight w:val="none"/>
          <w:lang w:val="en-US" w:eastAsia="zh-CN" w:bidi="ar-SA"/>
        </w:rPr>
      </w:pPr>
      <w:r>
        <w:rPr>
          <w:rFonts w:hint="eastAsia" w:ascii="Times New Roman" w:hAnsi="Times New Roman" w:eastAsia="宋体" w:cstheme="minorBidi"/>
          <w:bCs/>
          <w:kern w:val="2"/>
          <w:sz w:val="24"/>
          <w:szCs w:val="32"/>
          <w:highlight w:val="none"/>
          <w:lang w:val="en-US" w:eastAsia="zh-CN" w:bidi="ar-SA"/>
        </w:rPr>
        <w:t>监测系统维护期间应包括日常维护、专项维护及异常处置</w:t>
      </w:r>
      <w:r>
        <w:rPr>
          <w:rFonts w:ascii="Times New Roman" w:hAnsi="Times New Roman" w:eastAsia="宋体" w:cstheme="minorBidi"/>
          <w:bCs/>
          <w:kern w:val="2"/>
          <w:sz w:val="24"/>
          <w:szCs w:val="32"/>
          <w:highlight w:val="none"/>
          <w:lang w:val="en-US" w:eastAsia="zh-CN" w:bidi="ar-SA"/>
        </w:rPr>
        <w:t>。</w:t>
      </w:r>
    </w:p>
    <w:p>
      <w:pPr>
        <w:keepNext/>
        <w:keepLines/>
        <w:widowControl w:val="0"/>
        <w:numPr>
          <w:ilvl w:val="2"/>
          <w:numId w:val="1"/>
        </w:numPr>
        <w:spacing w:line="360" w:lineRule="auto"/>
        <w:ind w:firstLine="200" w:firstLineChars="0"/>
        <w:jc w:val="both"/>
        <w:outlineLvl w:val="2"/>
        <w:rPr>
          <w:rFonts w:ascii="Times New Roman" w:hAnsi="Times New Roman" w:eastAsia="宋体" w:cstheme="minorBidi"/>
          <w:bCs/>
          <w:kern w:val="2"/>
          <w:sz w:val="24"/>
          <w:szCs w:val="32"/>
          <w:highlight w:val="none"/>
          <w:lang w:val="en-US" w:eastAsia="zh-CN" w:bidi="ar-SA"/>
        </w:rPr>
      </w:pPr>
      <w:r>
        <w:rPr>
          <w:rFonts w:hint="eastAsia" w:ascii="Times New Roman" w:hAnsi="Times New Roman" w:eastAsia="宋体" w:cstheme="minorBidi"/>
          <w:bCs/>
          <w:kern w:val="2"/>
          <w:sz w:val="24"/>
          <w:szCs w:val="32"/>
          <w:highlight w:val="none"/>
          <w:lang w:val="en-US" w:eastAsia="zh-CN" w:bidi="ar-SA"/>
        </w:rPr>
        <w:t>监测系统硬件维护和软件升级前后的监测数据应做好衔接工作。硬件维护后的主要技术指标不应低于维护前的指标，软件升级后的性能应优于升级前的性能。</w:t>
      </w:r>
    </w:p>
    <w:p>
      <w:pPr>
        <w:keepNext/>
        <w:keepLines/>
        <w:widowControl w:val="0"/>
        <w:numPr>
          <w:ilvl w:val="2"/>
          <w:numId w:val="1"/>
        </w:numPr>
        <w:spacing w:line="360" w:lineRule="auto"/>
        <w:ind w:firstLine="200" w:firstLineChars="0"/>
        <w:jc w:val="both"/>
        <w:outlineLvl w:val="2"/>
        <w:rPr>
          <w:rFonts w:ascii="Times New Roman" w:hAnsi="Times New Roman" w:eastAsia="宋体" w:cstheme="minorBidi"/>
          <w:bCs/>
          <w:kern w:val="2"/>
          <w:sz w:val="24"/>
          <w:szCs w:val="32"/>
          <w:highlight w:val="none"/>
          <w:lang w:val="en-US" w:eastAsia="zh-CN" w:bidi="ar-SA"/>
        </w:rPr>
      </w:pPr>
      <w:r>
        <w:rPr>
          <w:rFonts w:hint="eastAsia" w:ascii="Times New Roman" w:hAnsi="Times New Roman" w:eastAsia="宋体" w:cstheme="minorBidi"/>
          <w:bCs/>
          <w:kern w:val="2"/>
          <w:sz w:val="24"/>
          <w:szCs w:val="32"/>
          <w:highlight w:val="none"/>
          <w:lang w:val="en-US" w:eastAsia="zh-CN" w:bidi="ar-SA"/>
        </w:rPr>
        <w:t>系统设备检查和维护的对象应包括传感器、采集及传输设备、数据存储设备和系统软件等。</w:t>
      </w:r>
    </w:p>
    <w:p>
      <w:pPr>
        <w:keepNext/>
        <w:keepLines/>
        <w:numPr>
          <w:ilvl w:val="1"/>
          <w:numId w:val="1"/>
        </w:numPr>
        <w:spacing w:line="360" w:lineRule="auto"/>
        <w:jc w:val="center"/>
        <w:outlineLvl w:val="1"/>
        <w:rPr>
          <w:rFonts w:ascii="Times New Roman" w:hAnsi="Times New Roman" w:eastAsia="宋体" w:cstheme="majorBidi"/>
          <w:b/>
          <w:bCs/>
          <w:kern w:val="2"/>
          <w:sz w:val="28"/>
          <w:szCs w:val="32"/>
          <w:lang w:val="en-US" w:eastAsia="zh-CN" w:bidi="ar-SA"/>
        </w:rPr>
      </w:pPr>
      <w:r>
        <w:rPr>
          <w:rFonts w:hint="eastAsia" w:ascii="Times New Roman" w:hAnsi="Times New Roman" w:eastAsia="宋体" w:cstheme="majorBidi"/>
          <w:b/>
          <w:bCs/>
          <w:kern w:val="2"/>
          <w:sz w:val="28"/>
          <w:szCs w:val="32"/>
          <w:lang w:val="en-US" w:eastAsia="zh-CN" w:bidi="ar-SA"/>
        </w:rPr>
        <w:t>日常维护</w:t>
      </w:r>
      <w:bookmarkEnd w:id="97"/>
    </w:p>
    <w:p>
      <w:pPr>
        <w:keepNext/>
        <w:keepLines/>
        <w:widowControl w:val="0"/>
        <w:numPr>
          <w:ilvl w:val="2"/>
          <w:numId w:val="1"/>
        </w:numPr>
        <w:spacing w:line="360" w:lineRule="auto"/>
        <w:ind w:firstLine="200" w:firstLineChars="0"/>
        <w:jc w:val="both"/>
        <w:outlineLvl w:val="2"/>
        <w:rPr>
          <w:rFonts w:ascii="Times New Roman" w:hAnsi="Times New Roman" w:eastAsia="宋体" w:cstheme="minorBidi"/>
          <w:bCs/>
          <w:kern w:val="2"/>
          <w:sz w:val="24"/>
          <w:szCs w:val="32"/>
          <w:lang w:val="en-US" w:eastAsia="zh-CN" w:bidi="ar-SA"/>
        </w:rPr>
      </w:pPr>
      <w:r>
        <w:rPr>
          <w:rFonts w:hint="eastAsia" w:ascii="Times New Roman" w:hAnsi="Times New Roman" w:eastAsia="宋体" w:cstheme="minorBidi"/>
          <w:bCs/>
          <w:kern w:val="2"/>
          <w:sz w:val="24"/>
          <w:szCs w:val="32"/>
          <w:lang w:val="en-US" w:eastAsia="zh-CN" w:bidi="ar-SA"/>
        </w:rPr>
        <w:t>日常检查宜由专职人员负责，每周不宜少于1次，检查应包含以下内容：</w:t>
      </w:r>
    </w:p>
    <w:p>
      <w:pPr>
        <w:spacing w:line="360" w:lineRule="auto"/>
        <w:ind w:firstLine="480"/>
        <w:rPr>
          <w:rFonts w:ascii="Times New Roman" w:hAnsi="Times New Roman"/>
        </w:rPr>
      </w:pPr>
      <w:r>
        <w:rPr>
          <w:rFonts w:hint="eastAsia" w:ascii="Times New Roman" w:hAnsi="Times New Roman"/>
        </w:rPr>
        <w:t>1系统有无报警、报警时间、报警类型。</w:t>
      </w:r>
    </w:p>
    <w:p>
      <w:pPr>
        <w:spacing w:line="360" w:lineRule="auto"/>
        <w:ind w:firstLine="480"/>
        <w:rPr>
          <w:rFonts w:ascii="Times New Roman" w:hAnsi="Times New Roman"/>
        </w:rPr>
      </w:pPr>
      <w:r>
        <w:rPr>
          <w:rFonts w:ascii="Times New Roman" w:hAnsi="Times New Roman"/>
        </w:rPr>
        <w:t>2</w:t>
      </w:r>
      <w:r>
        <w:rPr>
          <w:rFonts w:hint="eastAsia" w:ascii="Times New Roman" w:hAnsi="Times New Roman"/>
        </w:rPr>
        <w:t>采集软件、分析软件、传输软件是否正常工作，数据是否存在缺失。</w:t>
      </w:r>
    </w:p>
    <w:p>
      <w:pPr>
        <w:spacing w:line="360" w:lineRule="auto"/>
        <w:ind w:firstLine="480"/>
        <w:rPr>
          <w:rFonts w:ascii="Times New Roman" w:hAnsi="Times New Roman"/>
        </w:rPr>
      </w:pPr>
      <w:r>
        <w:rPr>
          <w:rFonts w:ascii="Times New Roman" w:hAnsi="Times New Roman"/>
        </w:rPr>
        <w:t>3</w:t>
      </w:r>
      <w:r>
        <w:rPr>
          <w:rFonts w:hint="eastAsia" w:ascii="Times New Roman" w:hAnsi="Times New Roman"/>
        </w:rPr>
        <w:t>各级传输网络是否正常连接，如存在中断、速度慢等现象应及时查明原因。</w:t>
      </w:r>
    </w:p>
    <w:p>
      <w:pPr>
        <w:spacing w:line="360" w:lineRule="auto"/>
        <w:ind w:firstLine="480"/>
        <w:rPr>
          <w:rFonts w:ascii="Times New Roman" w:hAnsi="Times New Roman"/>
        </w:rPr>
      </w:pPr>
      <w:r>
        <w:rPr>
          <w:rFonts w:ascii="Times New Roman" w:hAnsi="Times New Roman"/>
        </w:rPr>
        <w:t>4</w:t>
      </w:r>
      <w:r>
        <w:rPr>
          <w:rFonts w:hint="eastAsia" w:ascii="Times New Roman" w:hAnsi="Times New Roman"/>
        </w:rPr>
        <w:t>计算存储资源是否存在冗余。</w:t>
      </w:r>
    </w:p>
    <w:p>
      <w:pPr>
        <w:spacing w:line="360" w:lineRule="auto"/>
        <w:ind w:firstLine="480"/>
        <w:rPr>
          <w:rFonts w:ascii="Times New Roman" w:hAnsi="Times New Roman"/>
        </w:rPr>
      </w:pPr>
      <w:r>
        <w:rPr>
          <w:rFonts w:ascii="Times New Roman" w:hAnsi="Times New Roman"/>
        </w:rPr>
        <w:t>5</w:t>
      </w:r>
      <w:r>
        <w:rPr>
          <w:rFonts w:hint="eastAsia" w:ascii="Times New Roman" w:hAnsi="Times New Roman"/>
        </w:rPr>
        <w:t>采集站和监控中心设备是否完好，是否存在与监测系统无关的其他软件。</w:t>
      </w:r>
    </w:p>
    <w:p>
      <w:pPr>
        <w:spacing w:line="360" w:lineRule="auto"/>
        <w:ind w:firstLine="480"/>
        <w:rPr>
          <w:rFonts w:ascii="Times New Roman" w:hAnsi="Times New Roman"/>
        </w:rPr>
      </w:pPr>
      <w:r>
        <w:rPr>
          <w:rFonts w:ascii="Times New Roman" w:hAnsi="Times New Roman"/>
        </w:rPr>
        <w:t>6</w:t>
      </w:r>
      <w:r>
        <w:rPr>
          <w:rFonts w:hint="eastAsia" w:ascii="Times New Roman" w:hAnsi="Times New Roman"/>
        </w:rPr>
        <w:t>备品备件是否齐全。</w:t>
      </w:r>
    </w:p>
    <w:p>
      <w:pPr>
        <w:keepNext/>
        <w:keepLines/>
        <w:widowControl w:val="0"/>
        <w:numPr>
          <w:ilvl w:val="2"/>
          <w:numId w:val="1"/>
        </w:numPr>
        <w:spacing w:line="360" w:lineRule="auto"/>
        <w:ind w:firstLine="200" w:firstLineChars="0"/>
        <w:jc w:val="both"/>
        <w:outlineLvl w:val="2"/>
        <w:rPr>
          <w:rFonts w:ascii="Times New Roman" w:hAnsi="Times New Roman" w:eastAsia="宋体" w:cstheme="minorBidi"/>
          <w:bCs/>
          <w:kern w:val="2"/>
          <w:sz w:val="24"/>
          <w:szCs w:val="32"/>
          <w:lang w:val="en-US" w:eastAsia="zh-CN" w:bidi="ar-SA"/>
        </w:rPr>
      </w:pPr>
      <w:bookmarkStart w:id="98" w:name="_Toc136506072"/>
      <w:bookmarkStart w:id="99" w:name="_Toc136505010"/>
      <w:bookmarkStart w:id="100" w:name="_Toc134777431"/>
      <w:r>
        <w:rPr>
          <w:rFonts w:hint="eastAsia" w:ascii="Times New Roman" w:hAnsi="Times New Roman" w:eastAsia="宋体" w:cstheme="minorBidi"/>
          <w:b w:val="0"/>
          <w:bCs/>
          <w:kern w:val="2"/>
          <w:sz w:val="24"/>
          <w:szCs w:val="32"/>
          <w:lang w:val="en-US" w:eastAsia="zh-CN" w:bidi="ar-SA"/>
        </w:rPr>
        <w:t>检查结果应定期向上一级管理部门和负责人上报，每六个月不宜少于1次。</w:t>
      </w:r>
      <w:bookmarkEnd w:id="98"/>
      <w:bookmarkEnd w:id="99"/>
      <w:bookmarkEnd w:id="100"/>
    </w:p>
    <w:p>
      <w:pPr>
        <w:keepNext/>
        <w:keepLines/>
        <w:widowControl w:val="0"/>
        <w:numPr>
          <w:ilvl w:val="2"/>
          <w:numId w:val="1"/>
        </w:numPr>
        <w:spacing w:line="360" w:lineRule="auto"/>
        <w:ind w:firstLine="200" w:firstLineChars="0"/>
        <w:jc w:val="both"/>
        <w:outlineLvl w:val="2"/>
        <w:rPr>
          <w:rFonts w:ascii="Times New Roman" w:hAnsi="Times New Roman" w:eastAsia="宋体" w:cstheme="minorBidi"/>
          <w:bCs/>
          <w:kern w:val="2"/>
          <w:sz w:val="24"/>
          <w:szCs w:val="32"/>
          <w:lang w:val="en-US" w:eastAsia="zh-CN" w:bidi="ar-SA"/>
        </w:rPr>
      </w:pPr>
      <w:r>
        <w:rPr>
          <w:rFonts w:hint="eastAsia" w:ascii="Times New Roman" w:hAnsi="Times New Roman" w:eastAsia="宋体" w:cstheme="minorBidi"/>
          <w:bCs/>
          <w:kern w:val="2"/>
          <w:sz w:val="24"/>
          <w:szCs w:val="32"/>
          <w:lang w:val="en-US" w:eastAsia="zh-CN" w:bidi="ar-SA"/>
        </w:rPr>
        <w:t>若系统存在故障，宜及时进行维护，维护响应时间不宜超过</w:t>
      </w:r>
      <w:r>
        <w:rPr>
          <w:rFonts w:hint="eastAsia" w:ascii="Times New Roman" w:hAnsi="Times New Roman" w:eastAsia="宋体" w:cstheme="minorBidi"/>
          <w:bCs/>
          <w:kern w:val="2"/>
          <w:sz w:val="24"/>
          <w:szCs w:val="32"/>
          <w:highlight w:val="none"/>
          <w:lang w:val="en-US" w:eastAsia="zh-CN" w:bidi="ar-SA"/>
        </w:rPr>
        <w:t>24h。</w:t>
      </w:r>
    </w:p>
    <w:p>
      <w:pPr>
        <w:keepNext/>
        <w:keepLines/>
        <w:widowControl w:val="0"/>
        <w:numPr>
          <w:ilvl w:val="2"/>
          <w:numId w:val="1"/>
        </w:numPr>
        <w:spacing w:line="360" w:lineRule="auto"/>
        <w:ind w:firstLine="200" w:firstLineChars="0"/>
        <w:jc w:val="both"/>
        <w:outlineLvl w:val="2"/>
        <w:rPr>
          <w:rFonts w:ascii="Times New Roman" w:hAnsi="Times New Roman" w:eastAsia="宋体" w:cstheme="minorBidi"/>
          <w:bCs/>
          <w:kern w:val="2"/>
          <w:sz w:val="24"/>
          <w:szCs w:val="32"/>
          <w:lang w:val="en-US" w:eastAsia="zh-CN" w:bidi="ar-SA"/>
        </w:rPr>
      </w:pPr>
      <w:r>
        <w:rPr>
          <w:rFonts w:hint="eastAsia" w:ascii="Times New Roman" w:hAnsi="Times New Roman" w:eastAsia="宋体" w:cstheme="minorBidi"/>
          <w:bCs/>
          <w:kern w:val="2"/>
          <w:sz w:val="24"/>
          <w:szCs w:val="32"/>
          <w:lang w:val="en-US" w:eastAsia="zh-CN" w:bidi="ar-SA"/>
        </w:rPr>
        <w:t>每次检查维护完成后，应及时填写检查维护记录，且应符合下列规定：</w:t>
      </w:r>
    </w:p>
    <w:p>
      <w:pPr>
        <w:spacing w:line="360" w:lineRule="auto"/>
        <w:ind w:firstLine="480"/>
        <w:rPr>
          <w:rFonts w:ascii="Times New Roman" w:hAnsi="Times New Roman"/>
        </w:rPr>
      </w:pPr>
      <w:r>
        <w:rPr>
          <w:rFonts w:hint="eastAsia" w:ascii="Times New Roman" w:hAnsi="Times New Roman"/>
        </w:rPr>
        <w:t>1传感器的日常检查宜按附录</w:t>
      </w:r>
      <w:r>
        <w:rPr>
          <w:rFonts w:ascii="Times New Roman" w:hAnsi="Times New Roman"/>
        </w:rPr>
        <w:t>B</w:t>
      </w:r>
      <w:r>
        <w:rPr>
          <w:rFonts w:hint="eastAsia" w:ascii="Times New Roman" w:hAnsi="Times New Roman"/>
        </w:rPr>
        <w:t>中表</w:t>
      </w:r>
      <w:r>
        <w:rPr>
          <w:rFonts w:ascii="Times New Roman" w:hAnsi="Times New Roman"/>
          <w:color w:val="auto"/>
        </w:rPr>
        <w:t>B</w:t>
      </w:r>
      <w:r>
        <w:rPr>
          <w:rFonts w:hint="eastAsia" w:ascii="Times New Roman" w:hAnsi="Times New Roman"/>
          <w:color w:val="auto"/>
        </w:rPr>
        <w:t>.1</w:t>
      </w:r>
      <w:r>
        <w:rPr>
          <w:rFonts w:hint="eastAsia" w:ascii="Times New Roman" w:hAnsi="Times New Roman"/>
        </w:rPr>
        <w:t>中的要求进行记录。</w:t>
      </w:r>
    </w:p>
    <w:p>
      <w:pPr>
        <w:spacing w:line="360" w:lineRule="auto"/>
        <w:ind w:firstLine="480"/>
        <w:rPr>
          <w:rFonts w:ascii="Times New Roman" w:hAnsi="Times New Roman"/>
        </w:rPr>
      </w:pPr>
      <w:r>
        <w:rPr>
          <w:rFonts w:hint="eastAsia" w:ascii="Times New Roman" w:hAnsi="Times New Roman"/>
        </w:rPr>
        <w:t>2采集设备的日常检查宜按附录</w:t>
      </w:r>
      <w:r>
        <w:rPr>
          <w:rFonts w:ascii="Times New Roman" w:hAnsi="Times New Roman"/>
        </w:rPr>
        <w:t>B</w:t>
      </w:r>
      <w:r>
        <w:rPr>
          <w:rFonts w:hint="eastAsia" w:ascii="Times New Roman" w:hAnsi="Times New Roman"/>
        </w:rPr>
        <w:t>中表</w:t>
      </w:r>
      <w:r>
        <w:rPr>
          <w:rFonts w:ascii="Times New Roman" w:hAnsi="Times New Roman"/>
          <w:color w:val="auto"/>
        </w:rPr>
        <w:t>B</w:t>
      </w:r>
      <w:r>
        <w:rPr>
          <w:rFonts w:hint="eastAsia" w:ascii="Times New Roman" w:hAnsi="Times New Roman"/>
          <w:color w:val="auto"/>
        </w:rPr>
        <w:t>.</w:t>
      </w:r>
      <w:r>
        <w:rPr>
          <w:rFonts w:ascii="Times New Roman" w:hAnsi="Times New Roman"/>
          <w:color w:val="auto"/>
        </w:rPr>
        <w:t>2</w:t>
      </w:r>
      <w:r>
        <w:rPr>
          <w:rFonts w:hint="eastAsia" w:ascii="Times New Roman" w:hAnsi="Times New Roman"/>
        </w:rPr>
        <w:t>中的要求进行记录。</w:t>
      </w:r>
    </w:p>
    <w:p>
      <w:pPr>
        <w:spacing w:line="360" w:lineRule="auto"/>
        <w:ind w:firstLine="480"/>
        <w:rPr>
          <w:rFonts w:ascii="Times New Roman" w:hAnsi="Times New Roman"/>
        </w:rPr>
      </w:pPr>
      <w:r>
        <w:rPr>
          <w:rFonts w:ascii="Times New Roman" w:hAnsi="Times New Roman"/>
        </w:rPr>
        <w:t>3</w:t>
      </w:r>
      <w:r>
        <w:rPr>
          <w:rFonts w:hint="eastAsia" w:ascii="Times New Roman" w:hAnsi="Times New Roman"/>
        </w:rPr>
        <w:t>系统软件的日常检查宜按附录</w:t>
      </w:r>
      <w:r>
        <w:rPr>
          <w:rFonts w:ascii="Times New Roman" w:hAnsi="Times New Roman"/>
        </w:rPr>
        <w:t>B</w:t>
      </w:r>
      <w:r>
        <w:rPr>
          <w:rFonts w:hint="eastAsia" w:ascii="Times New Roman" w:hAnsi="Times New Roman"/>
        </w:rPr>
        <w:t>中表</w:t>
      </w:r>
      <w:r>
        <w:rPr>
          <w:rFonts w:ascii="Times New Roman" w:hAnsi="Times New Roman"/>
          <w:color w:val="auto"/>
        </w:rPr>
        <w:t>B</w:t>
      </w:r>
      <w:r>
        <w:rPr>
          <w:rFonts w:hint="eastAsia" w:ascii="Times New Roman" w:hAnsi="Times New Roman"/>
          <w:color w:val="auto"/>
        </w:rPr>
        <w:t>.</w:t>
      </w:r>
      <w:r>
        <w:rPr>
          <w:rFonts w:ascii="Times New Roman" w:hAnsi="Times New Roman"/>
          <w:color w:val="auto"/>
        </w:rPr>
        <w:t>3</w:t>
      </w:r>
      <w:r>
        <w:rPr>
          <w:rFonts w:hint="eastAsia" w:ascii="Times New Roman" w:hAnsi="Times New Roman"/>
        </w:rPr>
        <w:t>中的要求进行记录。</w:t>
      </w:r>
    </w:p>
    <w:p>
      <w:pPr>
        <w:keepNext/>
        <w:keepLines/>
        <w:widowControl w:val="0"/>
        <w:numPr>
          <w:ilvl w:val="2"/>
          <w:numId w:val="1"/>
        </w:numPr>
        <w:spacing w:line="360" w:lineRule="auto"/>
        <w:ind w:firstLine="200" w:firstLineChars="0"/>
        <w:jc w:val="both"/>
        <w:outlineLvl w:val="2"/>
        <w:rPr>
          <w:rFonts w:ascii="Times New Roman" w:hAnsi="Times New Roman" w:eastAsia="宋体" w:cstheme="minorBidi"/>
          <w:bCs/>
          <w:kern w:val="2"/>
          <w:sz w:val="24"/>
          <w:szCs w:val="32"/>
          <w:lang w:val="en-US" w:eastAsia="zh-CN" w:bidi="ar-SA"/>
        </w:rPr>
      </w:pPr>
      <w:r>
        <w:rPr>
          <w:rFonts w:hint="eastAsia" w:ascii="Times New Roman" w:hAnsi="Times New Roman" w:eastAsia="宋体" w:cstheme="minorBidi"/>
          <w:bCs/>
          <w:kern w:val="2"/>
          <w:sz w:val="24"/>
          <w:szCs w:val="32"/>
          <w:lang w:val="en-US" w:eastAsia="zh-CN" w:bidi="ar-SA"/>
        </w:rPr>
        <w:t>严禁非专业人员随意搬动仪器设备、变更各项仪器设备的连接方式。</w:t>
      </w:r>
    </w:p>
    <w:p>
      <w:pPr>
        <w:keepNext/>
        <w:keepLines/>
        <w:numPr>
          <w:ilvl w:val="1"/>
          <w:numId w:val="1"/>
        </w:numPr>
        <w:spacing w:line="360" w:lineRule="auto"/>
        <w:jc w:val="center"/>
        <w:outlineLvl w:val="1"/>
        <w:rPr>
          <w:rFonts w:ascii="Times New Roman" w:hAnsi="Times New Roman" w:eastAsia="宋体" w:cstheme="majorBidi"/>
          <w:b/>
          <w:bCs/>
          <w:kern w:val="2"/>
          <w:sz w:val="28"/>
          <w:szCs w:val="32"/>
          <w:lang w:val="en-US" w:eastAsia="zh-CN" w:bidi="ar-SA"/>
        </w:rPr>
      </w:pPr>
      <w:bookmarkStart w:id="101" w:name="_Toc136506073"/>
      <w:r>
        <w:rPr>
          <w:rFonts w:hint="eastAsia" w:ascii="Times New Roman" w:hAnsi="Times New Roman" w:eastAsia="宋体" w:cstheme="majorBidi"/>
          <w:b/>
          <w:bCs/>
          <w:kern w:val="2"/>
          <w:sz w:val="28"/>
          <w:szCs w:val="32"/>
          <w:lang w:val="en-US" w:eastAsia="zh-CN" w:bidi="ar-SA"/>
        </w:rPr>
        <w:t>专项维护</w:t>
      </w:r>
      <w:bookmarkEnd w:id="101"/>
    </w:p>
    <w:p>
      <w:pPr>
        <w:keepNext/>
        <w:keepLines/>
        <w:widowControl w:val="0"/>
        <w:numPr>
          <w:ilvl w:val="2"/>
          <w:numId w:val="1"/>
        </w:numPr>
        <w:spacing w:line="360" w:lineRule="auto"/>
        <w:ind w:firstLine="200" w:firstLineChars="0"/>
        <w:jc w:val="both"/>
        <w:outlineLvl w:val="2"/>
        <w:rPr>
          <w:rFonts w:ascii="Times New Roman" w:hAnsi="Times New Roman" w:eastAsia="宋体" w:cstheme="minorBidi"/>
          <w:bCs/>
          <w:kern w:val="2"/>
          <w:sz w:val="24"/>
          <w:szCs w:val="32"/>
          <w:lang w:val="en-US" w:eastAsia="zh-CN" w:bidi="ar-SA"/>
        </w:rPr>
      </w:pPr>
      <w:r>
        <w:rPr>
          <w:rFonts w:hint="eastAsia" w:ascii="Times New Roman" w:hAnsi="Times New Roman" w:eastAsia="宋体" w:cstheme="minorBidi"/>
          <w:bCs/>
          <w:kern w:val="2"/>
          <w:sz w:val="24"/>
          <w:szCs w:val="32"/>
          <w:lang w:val="en-US" w:eastAsia="zh-CN" w:bidi="ar-SA"/>
        </w:rPr>
        <w:t>专项维护应包含以下内容：</w:t>
      </w:r>
    </w:p>
    <w:p>
      <w:pPr>
        <w:spacing w:line="360" w:lineRule="auto"/>
        <w:ind w:firstLine="480"/>
        <w:rPr>
          <w:rFonts w:ascii="Times New Roman" w:hAnsi="Times New Roman"/>
        </w:rPr>
      </w:pPr>
      <w:r>
        <w:rPr>
          <w:rFonts w:hint="eastAsia" w:ascii="Times New Roman" w:hAnsi="Times New Roman"/>
          <w:lang w:val="en-US" w:eastAsia="zh-CN"/>
        </w:rPr>
        <w:t>1</w:t>
      </w:r>
      <w:r>
        <w:rPr>
          <w:rFonts w:hint="eastAsia" w:ascii="Times New Roman" w:hAnsi="Times New Roman"/>
        </w:rPr>
        <w:t xml:space="preserve"> 硬件、软件故障维护，维护完成后上传维护记录；</w:t>
      </w:r>
    </w:p>
    <w:p>
      <w:pPr>
        <w:spacing w:line="360" w:lineRule="auto"/>
        <w:ind w:firstLine="480"/>
        <w:rPr>
          <w:rFonts w:ascii="Times New Roman" w:hAnsi="Times New Roman"/>
        </w:rPr>
      </w:pPr>
      <w:r>
        <w:rPr>
          <w:rFonts w:hint="eastAsia" w:ascii="Times New Roman" w:hAnsi="Times New Roman"/>
          <w:lang w:val="en-US" w:eastAsia="zh-CN"/>
        </w:rPr>
        <w:t>2</w:t>
      </w:r>
      <w:r>
        <w:rPr>
          <w:rFonts w:hint="eastAsia" w:ascii="Times New Roman" w:hAnsi="Times New Roman"/>
        </w:rPr>
        <w:t xml:space="preserve"> 季度、年度、特殊事件等离线评估分析工作；</w:t>
      </w:r>
    </w:p>
    <w:p>
      <w:pPr>
        <w:spacing w:line="360" w:lineRule="auto"/>
        <w:ind w:firstLine="480"/>
        <w:rPr>
          <w:rFonts w:ascii="Times New Roman" w:hAnsi="Times New Roman"/>
        </w:rPr>
      </w:pPr>
      <w:r>
        <w:rPr>
          <w:rFonts w:hint="eastAsia" w:ascii="Times New Roman" w:hAnsi="Times New Roman"/>
          <w:lang w:val="en-US" w:eastAsia="zh-CN"/>
        </w:rPr>
        <w:t>3</w:t>
      </w:r>
      <w:r>
        <w:rPr>
          <w:rFonts w:hint="eastAsia" w:ascii="Times New Roman" w:hAnsi="Times New Roman"/>
        </w:rPr>
        <w:t xml:space="preserve"> 每年对监测数据进行1次校验，检查数据连续性、传感器技术参数、时间同步性；</w:t>
      </w:r>
    </w:p>
    <w:p>
      <w:pPr>
        <w:spacing w:line="360" w:lineRule="auto"/>
        <w:ind w:firstLine="480"/>
        <w:rPr>
          <w:rFonts w:ascii="Times New Roman" w:hAnsi="Times New Roman"/>
        </w:rPr>
      </w:pPr>
      <w:r>
        <w:rPr>
          <w:rFonts w:hint="eastAsia" w:ascii="Times New Roman" w:hAnsi="Times New Roman"/>
          <w:lang w:val="en-US" w:eastAsia="zh-CN"/>
        </w:rPr>
        <w:t>4</w:t>
      </w:r>
      <w:r>
        <w:rPr>
          <w:rFonts w:hint="eastAsia" w:ascii="Times New Roman" w:hAnsi="Times New Roman"/>
        </w:rPr>
        <w:t xml:space="preserve"> 每年对系统工作状态进行总结，对工作时长超限的设备提出更换计划。</w:t>
      </w:r>
    </w:p>
    <w:p>
      <w:pPr>
        <w:keepNext/>
        <w:keepLines/>
        <w:widowControl w:val="0"/>
        <w:numPr>
          <w:ilvl w:val="2"/>
          <w:numId w:val="1"/>
        </w:numPr>
        <w:spacing w:line="360" w:lineRule="auto"/>
        <w:ind w:firstLine="200" w:firstLineChars="0"/>
        <w:jc w:val="both"/>
        <w:outlineLvl w:val="2"/>
        <w:rPr>
          <w:rFonts w:ascii="Times New Roman" w:hAnsi="Times New Roman" w:eastAsia="宋体" w:cstheme="minorBidi"/>
          <w:bCs/>
          <w:kern w:val="2"/>
          <w:sz w:val="24"/>
          <w:szCs w:val="32"/>
          <w:lang w:val="en-US" w:eastAsia="zh-CN" w:bidi="ar-SA"/>
        </w:rPr>
      </w:pPr>
      <w:r>
        <w:rPr>
          <w:rFonts w:hint="eastAsia" w:ascii="Times New Roman" w:hAnsi="Times New Roman" w:eastAsia="宋体" w:cstheme="minorBidi"/>
          <w:bCs/>
          <w:kern w:val="2"/>
          <w:sz w:val="24"/>
          <w:szCs w:val="32"/>
          <w:lang w:val="en-US" w:eastAsia="zh-CN" w:bidi="ar-SA"/>
        </w:rPr>
        <w:t>传感器设备、采集与传输设备的专项维护应包含以下内容：</w:t>
      </w:r>
    </w:p>
    <w:p>
      <w:pPr>
        <w:spacing w:line="360" w:lineRule="auto"/>
        <w:ind w:firstLine="480"/>
        <w:rPr>
          <w:rFonts w:hint="eastAsia" w:ascii="Times New Roman" w:hAnsi="Times New Roman" w:eastAsia="宋体"/>
          <w:lang w:eastAsia="zh-CN"/>
        </w:rPr>
      </w:pPr>
      <w:r>
        <w:rPr>
          <w:rFonts w:hint="eastAsia" w:ascii="Times New Roman" w:hAnsi="Times New Roman"/>
        </w:rPr>
        <w:t>1 对传感器的精度、线性度、分辨率、量程应进行专项校核</w:t>
      </w:r>
      <w:r>
        <w:rPr>
          <w:rFonts w:hint="eastAsia" w:ascii="Times New Roman" w:hAnsi="Times New Roman"/>
          <w:lang w:eastAsia="zh-CN"/>
        </w:rPr>
        <w:t>；</w:t>
      </w:r>
    </w:p>
    <w:p>
      <w:pPr>
        <w:spacing w:line="360" w:lineRule="auto"/>
        <w:ind w:firstLine="480"/>
        <w:rPr>
          <w:rFonts w:hint="eastAsia" w:ascii="Times New Roman" w:hAnsi="Times New Roman" w:eastAsia="宋体"/>
          <w:lang w:eastAsia="zh-CN"/>
        </w:rPr>
      </w:pPr>
      <w:r>
        <w:rPr>
          <w:rFonts w:hint="eastAsia" w:ascii="Times New Roman" w:hAnsi="Times New Roman"/>
        </w:rPr>
        <w:t>2 传感器松动或变位后应及时紧固，无法紧固的应在原位附近设置满足要求的新测点</w:t>
      </w:r>
      <w:r>
        <w:rPr>
          <w:rFonts w:hint="eastAsia" w:ascii="Times New Roman" w:hAnsi="Times New Roman"/>
          <w:lang w:eastAsia="zh-CN"/>
        </w:rPr>
        <w:t>；</w:t>
      </w:r>
    </w:p>
    <w:p>
      <w:pPr>
        <w:spacing w:line="360" w:lineRule="auto"/>
        <w:ind w:firstLine="480"/>
        <w:rPr>
          <w:rFonts w:ascii="Times New Roman" w:hAnsi="Times New Roman"/>
        </w:rPr>
      </w:pPr>
      <w:r>
        <w:rPr>
          <w:rFonts w:hint="eastAsia" w:ascii="Times New Roman" w:hAnsi="Times New Roman"/>
        </w:rPr>
        <w:t>3 设备检修、维护、更换时应断电，且应保证前后一致，并进行记录存档。</w:t>
      </w:r>
    </w:p>
    <w:p>
      <w:pPr>
        <w:spacing w:line="360" w:lineRule="auto"/>
        <w:ind w:firstLine="480"/>
        <w:rPr>
          <w:rFonts w:ascii="Times New Roman" w:hAnsi="Times New Roman"/>
        </w:rPr>
      </w:pPr>
      <w:r>
        <w:rPr>
          <w:rFonts w:hint="eastAsia" w:ascii="Times New Roman" w:hAnsi="Times New Roman"/>
        </w:rPr>
        <w:t>4 设备信号指示灯正常，运行过程中不应有异响或异常振动，不应出现过热现象。</w:t>
      </w:r>
    </w:p>
    <w:p>
      <w:pPr>
        <w:keepNext/>
        <w:keepLines/>
        <w:widowControl w:val="0"/>
        <w:numPr>
          <w:ilvl w:val="2"/>
          <w:numId w:val="1"/>
        </w:numPr>
        <w:spacing w:line="360" w:lineRule="auto"/>
        <w:ind w:firstLine="200" w:firstLineChars="0"/>
        <w:jc w:val="both"/>
        <w:outlineLvl w:val="2"/>
        <w:rPr>
          <w:rFonts w:ascii="Times New Roman" w:hAnsi="Times New Roman" w:eastAsia="宋体" w:cstheme="minorBidi"/>
          <w:bCs/>
          <w:kern w:val="2"/>
          <w:sz w:val="24"/>
          <w:szCs w:val="32"/>
          <w:lang w:val="en-US" w:eastAsia="zh-CN" w:bidi="ar-SA"/>
        </w:rPr>
      </w:pPr>
      <w:r>
        <w:rPr>
          <w:rFonts w:hint="eastAsia" w:ascii="Times New Roman" w:hAnsi="Times New Roman" w:eastAsia="宋体" w:cstheme="minorBidi"/>
          <w:bCs/>
          <w:kern w:val="2"/>
          <w:sz w:val="24"/>
          <w:szCs w:val="32"/>
          <w:lang w:val="en-US" w:eastAsia="zh-CN" w:bidi="ar-SA"/>
        </w:rPr>
        <w:t>数据存储设备专项维护应包含以下内容：</w:t>
      </w:r>
    </w:p>
    <w:p>
      <w:pPr>
        <w:spacing w:line="360" w:lineRule="auto"/>
        <w:ind w:firstLine="480"/>
        <w:rPr>
          <w:rFonts w:ascii="Times New Roman" w:hAnsi="Times New Roman"/>
          <w:highlight w:val="none"/>
        </w:rPr>
      </w:pPr>
      <w:r>
        <w:rPr>
          <w:rFonts w:hint="eastAsia" w:ascii="Times New Roman" w:hAnsi="Times New Roman"/>
          <w:highlight w:val="none"/>
        </w:rPr>
        <w:t xml:space="preserve">1 </w:t>
      </w:r>
      <w:r>
        <w:rPr>
          <w:rFonts w:hint="eastAsia" w:ascii="Times New Roman" w:hAnsi="Times New Roman"/>
          <w:highlight w:val="none"/>
          <w:lang w:val="en-US" w:eastAsia="zh-CN"/>
        </w:rPr>
        <w:t>监测数据</w:t>
      </w:r>
      <w:r>
        <w:rPr>
          <w:rFonts w:hint="eastAsia" w:ascii="Times New Roman" w:hAnsi="Times New Roman"/>
          <w:highlight w:val="none"/>
        </w:rPr>
        <w:t>应</w:t>
      </w:r>
      <w:r>
        <w:rPr>
          <w:rFonts w:hint="eastAsia" w:ascii="Times New Roman" w:hAnsi="Times New Roman"/>
          <w:highlight w:val="none"/>
          <w:lang w:val="en-US" w:eastAsia="zh-CN"/>
        </w:rPr>
        <w:t>每日进行差异备份</w:t>
      </w:r>
      <w:r>
        <w:rPr>
          <w:rFonts w:hint="eastAsia" w:ascii="Times New Roman" w:hAnsi="Times New Roman"/>
          <w:highlight w:val="none"/>
        </w:rPr>
        <w:t>，</w:t>
      </w:r>
      <w:r>
        <w:rPr>
          <w:rFonts w:hint="eastAsia" w:ascii="Times New Roman" w:hAnsi="Times New Roman"/>
          <w:highlight w:val="none"/>
          <w:lang w:val="en-US" w:eastAsia="zh-CN"/>
        </w:rPr>
        <w:t>每6个月进行一次完全备份。</w:t>
      </w:r>
      <w:r>
        <w:rPr>
          <w:rFonts w:hint="eastAsia" w:ascii="Times New Roman" w:hAnsi="Times New Roman"/>
          <w:highlight w:val="none"/>
        </w:rPr>
        <w:t>数据库文件和备份文件</w:t>
      </w:r>
      <w:r>
        <w:rPr>
          <w:rFonts w:hint="eastAsia" w:ascii="Times New Roman" w:hAnsi="Times New Roman"/>
          <w:highlight w:val="none"/>
          <w:lang w:eastAsia="zh-CN"/>
        </w:rPr>
        <w:t>应</w:t>
      </w:r>
      <w:r>
        <w:rPr>
          <w:rFonts w:hint="eastAsia" w:ascii="Times New Roman" w:hAnsi="Times New Roman"/>
          <w:highlight w:val="none"/>
        </w:rPr>
        <w:t>在不同的IO或机器上。</w:t>
      </w:r>
    </w:p>
    <w:p>
      <w:pPr>
        <w:spacing w:line="360" w:lineRule="auto"/>
        <w:ind w:firstLine="480"/>
        <w:rPr>
          <w:rFonts w:ascii="Times New Roman" w:hAnsi="Times New Roman"/>
          <w:highlight w:val="none"/>
        </w:rPr>
      </w:pPr>
      <w:r>
        <w:rPr>
          <w:rFonts w:hint="eastAsia" w:ascii="Times New Roman" w:hAnsi="Times New Roman"/>
          <w:highlight w:val="none"/>
        </w:rPr>
        <w:t>2 出现数据失真、数据重复等异常情况应及时确定原因，恢复正常。</w:t>
      </w:r>
    </w:p>
    <w:p>
      <w:pPr>
        <w:ind w:firstLine="480"/>
        <w:rPr>
          <w:rFonts w:ascii="Times New Roman" w:hAnsi="Times New Roman"/>
          <w:highlight w:val="none"/>
        </w:rPr>
      </w:pPr>
      <w:r>
        <w:rPr>
          <w:rFonts w:hint="eastAsia" w:ascii="Times New Roman" w:hAnsi="Times New Roman"/>
          <w:highlight w:val="none"/>
        </w:rPr>
        <w:t xml:space="preserve">3 </w:t>
      </w:r>
      <w:r>
        <w:rPr>
          <w:rFonts w:hint="eastAsia" w:ascii="Times New Roman" w:hAnsi="Times New Roman"/>
          <w:color w:val="auto"/>
          <w:highlight w:val="none"/>
          <w:lang w:val="en-US" w:eastAsia="zh-CN"/>
        </w:rPr>
        <w:t>每月</w:t>
      </w:r>
      <w:r>
        <w:rPr>
          <w:rFonts w:hint="eastAsia" w:ascii="Times New Roman" w:hAnsi="Times New Roman"/>
          <w:color w:val="auto"/>
          <w:highlight w:val="none"/>
        </w:rPr>
        <w:t>对数据存储空间占</w:t>
      </w:r>
      <w:r>
        <w:rPr>
          <w:rFonts w:hint="eastAsia" w:ascii="Times New Roman" w:hAnsi="Times New Roman"/>
          <w:highlight w:val="none"/>
        </w:rPr>
        <w:t>用情况</w:t>
      </w:r>
      <w:r>
        <w:rPr>
          <w:rFonts w:hint="eastAsia" w:ascii="Times New Roman" w:hAnsi="Times New Roman"/>
          <w:highlight w:val="none"/>
          <w:lang w:val="en-US" w:eastAsia="zh-CN"/>
        </w:rPr>
        <w:t>进行</w:t>
      </w:r>
      <w:r>
        <w:rPr>
          <w:rFonts w:hint="eastAsia" w:ascii="Times New Roman" w:hAnsi="Times New Roman"/>
          <w:highlight w:val="none"/>
        </w:rPr>
        <w:t>检查，</w:t>
      </w:r>
      <w:r>
        <w:rPr>
          <w:rFonts w:ascii="Times New Roman" w:hAnsi="Times New Roman" w:eastAsia="STSong-Light" w:cs="Times New Roman"/>
          <w:kern w:val="0"/>
          <w:sz w:val="24"/>
          <w:highlight w:val="none"/>
          <w:lang w:bidi="ar"/>
        </w:rPr>
        <w:t>当</w:t>
      </w:r>
      <w:r>
        <w:rPr>
          <w:rFonts w:hint="eastAsia" w:ascii="Times New Roman" w:hAnsi="Times New Roman" w:cs="Times New Roman"/>
          <w:kern w:val="0"/>
          <w:sz w:val="24"/>
          <w:highlight w:val="none"/>
          <w:lang w:val="en-US" w:eastAsia="zh-CN" w:bidi="ar"/>
        </w:rPr>
        <w:t>存储</w:t>
      </w:r>
      <w:r>
        <w:rPr>
          <w:rFonts w:ascii="Times New Roman" w:hAnsi="Times New Roman" w:eastAsia="STSong-Light" w:cs="Times New Roman"/>
          <w:kern w:val="0"/>
          <w:sz w:val="24"/>
          <w:highlight w:val="none"/>
          <w:lang w:bidi="ar"/>
        </w:rPr>
        <w:t>空间</w:t>
      </w:r>
      <w:r>
        <w:rPr>
          <w:rFonts w:hint="eastAsia" w:ascii="Times New Roman" w:hAnsi="Times New Roman" w:cs="Times New Roman"/>
          <w:kern w:val="0"/>
          <w:sz w:val="24"/>
          <w:highlight w:val="none"/>
          <w:lang w:val="en-US" w:eastAsia="zh-CN" w:bidi="ar"/>
        </w:rPr>
        <w:t>不足时</w:t>
      </w:r>
      <w:r>
        <w:rPr>
          <w:rFonts w:ascii="Times New Roman" w:hAnsi="Times New Roman" w:eastAsia="STSong-Light" w:cs="Times New Roman"/>
          <w:kern w:val="0"/>
          <w:sz w:val="24"/>
          <w:highlight w:val="none"/>
          <w:lang w:bidi="ar"/>
        </w:rPr>
        <w:t>，</w:t>
      </w:r>
      <w:r>
        <w:rPr>
          <w:rFonts w:hint="eastAsia" w:ascii="Times New Roman" w:hAnsi="Times New Roman"/>
          <w:highlight w:val="none"/>
        </w:rPr>
        <w:t>及时对数据</w:t>
      </w:r>
      <w:r>
        <w:rPr>
          <w:rFonts w:ascii="Times New Roman" w:hAnsi="Times New Roman" w:eastAsia="STSong-Light" w:cs="Times New Roman"/>
          <w:kern w:val="0"/>
          <w:sz w:val="24"/>
          <w:highlight w:val="none"/>
          <w:lang w:bidi="ar"/>
        </w:rPr>
        <w:t>转存备份</w:t>
      </w:r>
      <w:r>
        <w:rPr>
          <w:rFonts w:hint="eastAsia" w:ascii="Times New Roman" w:hAnsi="Times New Roman" w:cs="Times New Roman"/>
          <w:kern w:val="0"/>
          <w:sz w:val="24"/>
          <w:highlight w:val="none"/>
          <w:lang w:val="en-US" w:eastAsia="zh-CN" w:bidi="ar"/>
        </w:rPr>
        <w:t>或增加存储空间容量</w:t>
      </w:r>
      <w:r>
        <w:rPr>
          <w:rFonts w:hint="eastAsia" w:ascii="Times New Roman" w:hAnsi="Times New Roman"/>
          <w:highlight w:val="none"/>
        </w:rPr>
        <w:t>。</w:t>
      </w:r>
    </w:p>
    <w:p>
      <w:pPr>
        <w:spacing w:line="360" w:lineRule="auto"/>
        <w:ind w:firstLine="480"/>
        <w:rPr>
          <w:rFonts w:hint="eastAsia" w:ascii="Times New Roman" w:hAnsi="Times New Roman"/>
          <w:highlight w:val="none"/>
          <w:lang w:val="en-US" w:eastAsia="zh-CN"/>
        </w:rPr>
      </w:pPr>
      <w:r>
        <w:rPr>
          <w:rFonts w:hint="eastAsia" w:ascii="Times New Roman" w:hAnsi="Times New Roman"/>
          <w:highlight w:val="none"/>
          <w:lang w:val="en-US" w:eastAsia="zh-CN"/>
        </w:rPr>
        <w:t>4 根据实测数据的分析统计结果对蓝色预警值进行修订。</w:t>
      </w:r>
    </w:p>
    <w:p>
      <w:pPr>
        <w:keepNext/>
        <w:keepLines/>
        <w:widowControl w:val="0"/>
        <w:numPr>
          <w:ilvl w:val="2"/>
          <w:numId w:val="1"/>
        </w:numPr>
        <w:spacing w:line="360" w:lineRule="auto"/>
        <w:ind w:firstLine="200" w:firstLineChars="0"/>
        <w:jc w:val="both"/>
        <w:outlineLvl w:val="2"/>
        <w:rPr>
          <w:rFonts w:ascii="Times New Roman" w:hAnsi="Times New Roman" w:eastAsia="宋体" w:cstheme="minorBidi"/>
          <w:bCs/>
          <w:kern w:val="2"/>
          <w:sz w:val="24"/>
          <w:szCs w:val="32"/>
          <w:lang w:val="en-US" w:eastAsia="zh-CN" w:bidi="ar-SA"/>
        </w:rPr>
      </w:pPr>
      <w:r>
        <w:rPr>
          <w:rFonts w:hint="eastAsia" w:ascii="Times New Roman" w:hAnsi="Times New Roman" w:eastAsia="宋体" w:cstheme="minorBidi"/>
          <w:bCs/>
          <w:kern w:val="2"/>
          <w:sz w:val="24"/>
          <w:szCs w:val="32"/>
          <w:lang w:val="en-US" w:eastAsia="zh-CN" w:bidi="ar-SA"/>
        </w:rPr>
        <w:t>软件系统应根据专项检查发现的问题进行维护或者升级。软件维护或者升级宜由软件开发单位或者第三方专业单位进行。</w:t>
      </w:r>
    </w:p>
    <w:p>
      <w:pPr>
        <w:keepNext/>
        <w:keepLines/>
        <w:widowControl w:val="0"/>
        <w:numPr>
          <w:ilvl w:val="2"/>
          <w:numId w:val="1"/>
        </w:numPr>
        <w:spacing w:line="360" w:lineRule="auto"/>
        <w:ind w:firstLine="200" w:firstLineChars="0"/>
        <w:jc w:val="both"/>
        <w:outlineLvl w:val="2"/>
        <w:rPr>
          <w:rFonts w:ascii="Times New Roman" w:hAnsi="Times New Roman" w:eastAsia="宋体" w:cstheme="minorBidi"/>
          <w:bCs/>
          <w:kern w:val="2"/>
          <w:sz w:val="24"/>
          <w:szCs w:val="32"/>
          <w:lang w:val="en-US" w:eastAsia="zh-CN" w:bidi="ar-SA"/>
        </w:rPr>
      </w:pPr>
      <w:r>
        <w:rPr>
          <w:rFonts w:hint="eastAsia" w:ascii="Times New Roman" w:hAnsi="Times New Roman" w:eastAsia="宋体" w:cstheme="minorBidi"/>
          <w:bCs/>
          <w:kern w:val="2"/>
          <w:sz w:val="24"/>
          <w:szCs w:val="32"/>
          <w:lang w:val="en-US" w:eastAsia="zh-CN" w:bidi="ar-SA"/>
        </w:rPr>
        <w:t>系统软件在专项维护时，不得随意删除或修改软件；升级过程中应保留原有监测数据，应对重要数据加强备份保护。</w:t>
      </w:r>
    </w:p>
    <w:p>
      <w:pPr>
        <w:keepNext/>
        <w:keepLines/>
        <w:widowControl w:val="0"/>
        <w:numPr>
          <w:ilvl w:val="2"/>
          <w:numId w:val="1"/>
        </w:numPr>
        <w:spacing w:line="360" w:lineRule="auto"/>
        <w:ind w:firstLine="200" w:firstLineChars="0"/>
        <w:jc w:val="both"/>
        <w:outlineLvl w:val="2"/>
        <w:rPr>
          <w:rFonts w:ascii="Times New Roman" w:hAnsi="Times New Roman" w:eastAsia="宋体" w:cstheme="minorBidi"/>
          <w:bCs/>
          <w:kern w:val="2"/>
          <w:sz w:val="24"/>
          <w:szCs w:val="32"/>
          <w:lang w:val="en-US" w:eastAsia="zh-CN" w:bidi="ar-SA"/>
        </w:rPr>
      </w:pPr>
      <w:r>
        <w:rPr>
          <w:rFonts w:hint="eastAsia" w:ascii="Times New Roman" w:hAnsi="Times New Roman" w:eastAsia="宋体" w:cstheme="minorBidi"/>
          <w:bCs/>
          <w:kern w:val="2"/>
          <w:sz w:val="24"/>
          <w:szCs w:val="32"/>
          <w:lang w:val="en-US" w:eastAsia="zh-CN" w:bidi="ar-SA"/>
        </w:rPr>
        <w:t>应进行系统软件病毒监测、病毒查杀；应卸载或修改导致兼容性问题的软件；</w:t>
      </w:r>
    </w:p>
    <w:p>
      <w:pPr>
        <w:keepNext/>
        <w:keepLines/>
        <w:widowControl w:val="0"/>
        <w:numPr>
          <w:ilvl w:val="2"/>
          <w:numId w:val="1"/>
        </w:numPr>
        <w:spacing w:line="360" w:lineRule="auto"/>
        <w:ind w:firstLine="200" w:firstLineChars="0"/>
        <w:jc w:val="both"/>
        <w:outlineLvl w:val="2"/>
        <w:rPr>
          <w:rFonts w:ascii="Times New Roman" w:hAnsi="Times New Roman" w:eastAsia="宋体" w:cstheme="minorBidi"/>
          <w:bCs/>
          <w:kern w:val="2"/>
          <w:sz w:val="24"/>
          <w:szCs w:val="32"/>
          <w:lang w:val="en-US" w:eastAsia="zh-CN" w:bidi="ar-SA"/>
        </w:rPr>
      </w:pPr>
      <w:r>
        <w:rPr>
          <w:rFonts w:hint="eastAsia" w:ascii="Times New Roman" w:hAnsi="Times New Roman" w:eastAsia="宋体" w:cstheme="minorBidi"/>
          <w:bCs/>
          <w:kern w:val="2"/>
          <w:sz w:val="24"/>
          <w:szCs w:val="32"/>
          <w:lang w:val="en-US" w:eastAsia="zh-CN" w:bidi="ar-SA"/>
        </w:rPr>
        <w:t>系统专项维护检查完成后，</w:t>
      </w:r>
      <w:r>
        <w:rPr>
          <w:rFonts w:hint="eastAsia" w:ascii="Times New Roman" w:hAnsi="Times New Roman" w:eastAsia="宋体" w:cstheme="minorBidi"/>
          <w:bCs/>
          <w:color w:val="auto"/>
          <w:kern w:val="2"/>
          <w:sz w:val="24"/>
          <w:szCs w:val="32"/>
          <w:lang w:val="en-US" w:eastAsia="zh-CN" w:bidi="ar-SA"/>
        </w:rPr>
        <w:t>应及时填写维护记录：</w:t>
      </w:r>
    </w:p>
    <w:p>
      <w:pPr>
        <w:spacing w:line="360" w:lineRule="auto"/>
        <w:ind w:firstLine="480"/>
        <w:rPr>
          <w:rFonts w:ascii="Times New Roman" w:hAnsi="Times New Roman"/>
        </w:rPr>
      </w:pPr>
      <w:r>
        <w:rPr>
          <w:rFonts w:hint="eastAsia" w:ascii="Times New Roman" w:hAnsi="Times New Roman"/>
        </w:rPr>
        <w:t>1 传感器的专项检查宜按附录</w:t>
      </w:r>
      <w:r>
        <w:rPr>
          <w:rFonts w:ascii="Times New Roman" w:hAnsi="Times New Roman"/>
        </w:rPr>
        <w:t>B</w:t>
      </w:r>
      <w:r>
        <w:rPr>
          <w:rFonts w:hint="eastAsia" w:ascii="Times New Roman" w:hAnsi="Times New Roman"/>
        </w:rPr>
        <w:t>中表</w:t>
      </w:r>
      <w:r>
        <w:rPr>
          <w:rFonts w:ascii="Times New Roman" w:hAnsi="Times New Roman"/>
        </w:rPr>
        <w:t>B</w:t>
      </w:r>
      <w:r>
        <w:rPr>
          <w:rFonts w:hint="eastAsia" w:ascii="Times New Roman" w:hAnsi="Times New Roman"/>
        </w:rPr>
        <w:t>.4中的要求进行记录。</w:t>
      </w:r>
    </w:p>
    <w:p>
      <w:pPr>
        <w:spacing w:line="360" w:lineRule="auto"/>
        <w:ind w:firstLine="480"/>
        <w:rPr>
          <w:rFonts w:ascii="Times New Roman" w:hAnsi="Times New Roman"/>
        </w:rPr>
      </w:pPr>
      <w:r>
        <w:rPr>
          <w:rFonts w:hint="eastAsia" w:ascii="Times New Roman" w:hAnsi="Times New Roman"/>
        </w:rPr>
        <w:t>2 采集设备的专项检查宜按附录</w:t>
      </w:r>
      <w:r>
        <w:rPr>
          <w:rFonts w:ascii="Times New Roman" w:hAnsi="Times New Roman"/>
        </w:rPr>
        <w:t>B</w:t>
      </w:r>
      <w:r>
        <w:rPr>
          <w:rFonts w:hint="eastAsia" w:ascii="Times New Roman" w:hAnsi="Times New Roman"/>
        </w:rPr>
        <w:t>中表</w:t>
      </w:r>
      <w:r>
        <w:rPr>
          <w:rFonts w:ascii="Times New Roman" w:hAnsi="Times New Roman"/>
        </w:rPr>
        <w:t>B</w:t>
      </w:r>
      <w:r>
        <w:rPr>
          <w:rFonts w:hint="eastAsia" w:ascii="Times New Roman" w:hAnsi="Times New Roman"/>
        </w:rPr>
        <w:t>.5中的要求进行记录。</w:t>
      </w:r>
    </w:p>
    <w:p>
      <w:pPr>
        <w:spacing w:line="360" w:lineRule="auto"/>
        <w:ind w:firstLine="480"/>
        <w:rPr>
          <w:rFonts w:ascii="Times New Roman" w:hAnsi="Times New Roman"/>
        </w:rPr>
      </w:pPr>
      <w:r>
        <w:rPr>
          <w:rFonts w:hint="eastAsia" w:ascii="Times New Roman" w:hAnsi="Times New Roman"/>
        </w:rPr>
        <w:t>3 系统软件的专项检查宜按附录</w:t>
      </w:r>
      <w:r>
        <w:rPr>
          <w:rFonts w:ascii="Times New Roman" w:hAnsi="Times New Roman"/>
        </w:rPr>
        <w:t>B</w:t>
      </w:r>
      <w:r>
        <w:rPr>
          <w:rFonts w:hint="eastAsia" w:ascii="Times New Roman" w:hAnsi="Times New Roman"/>
        </w:rPr>
        <w:t>中表</w:t>
      </w:r>
      <w:r>
        <w:rPr>
          <w:rFonts w:ascii="Times New Roman" w:hAnsi="Times New Roman"/>
        </w:rPr>
        <w:t>B</w:t>
      </w:r>
      <w:r>
        <w:rPr>
          <w:rFonts w:hint="eastAsia" w:ascii="Times New Roman" w:hAnsi="Times New Roman"/>
        </w:rPr>
        <w:t>.6中的要求进行记录。</w:t>
      </w:r>
    </w:p>
    <w:p>
      <w:pPr>
        <w:keepNext/>
        <w:keepLines/>
        <w:widowControl w:val="0"/>
        <w:numPr>
          <w:ilvl w:val="2"/>
          <w:numId w:val="1"/>
        </w:numPr>
        <w:spacing w:line="360" w:lineRule="auto"/>
        <w:ind w:firstLine="200" w:firstLineChars="0"/>
        <w:jc w:val="both"/>
        <w:outlineLvl w:val="2"/>
        <w:rPr>
          <w:rFonts w:ascii="Times New Roman" w:hAnsi="Times New Roman" w:eastAsia="宋体" w:cstheme="minorBidi"/>
          <w:bCs/>
          <w:kern w:val="2"/>
          <w:sz w:val="24"/>
          <w:szCs w:val="32"/>
          <w:lang w:val="en-US" w:eastAsia="zh-CN" w:bidi="ar-SA"/>
        </w:rPr>
      </w:pPr>
      <w:r>
        <w:rPr>
          <w:rFonts w:hint="eastAsia" w:ascii="Times New Roman" w:hAnsi="Times New Roman" w:eastAsia="宋体" w:cstheme="minorBidi"/>
          <w:bCs/>
          <w:kern w:val="2"/>
          <w:sz w:val="24"/>
          <w:szCs w:val="32"/>
          <w:lang w:val="en-US" w:eastAsia="zh-CN" w:bidi="ar-SA"/>
        </w:rPr>
        <w:t>定期检查与维护后，应在一个月内向上一级管理部门和负责人上报运营维护报告。</w:t>
      </w:r>
    </w:p>
    <w:p>
      <w:pPr>
        <w:keepNext/>
        <w:keepLines/>
        <w:numPr>
          <w:ilvl w:val="1"/>
          <w:numId w:val="1"/>
        </w:numPr>
        <w:spacing w:line="360" w:lineRule="auto"/>
        <w:jc w:val="center"/>
        <w:outlineLvl w:val="1"/>
        <w:rPr>
          <w:rFonts w:ascii="Times New Roman" w:hAnsi="Times New Roman" w:eastAsia="宋体" w:cstheme="majorBidi"/>
          <w:b/>
          <w:bCs/>
          <w:kern w:val="2"/>
          <w:sz w:val="28"/>
          <w:szCs w:val="32"/>
          <w:lang w:val="en-US" w:eastAsia="zh-CN" w:bidi="ar-SA"/>
        </w:rPr>
      </w:pPr>
      <w:bookmarkStart w:id="102" w:name="_Toc136506074"/>
      <w:r>
        <w:rPr>
          <w:rFonts w:hint="eastAsia" w:ascii="Times New Roman" w:hAnsi="Times New Roman" w:eastAsia="宋体" w:cstheme="majorBidi"/>
          <w:b/>
          <w:bCs/>
          <w:kern w:val="2"/>
          <w:sz w:val="28"/>
          <w:szCs w:val="32"/>
          <w:lang w:val="en-US" w:eastAsia="zh-CN" w:bidi="ar-SA"/>
        </w:rPr>
        <w:t>异常处置</w:t>
      </w:r>
      <w:bookmarkEnd w:id="102"/>
    </w:p>
    <w:p>
      <w:pPr>
        <w:keepNext/>
        <w:keepLines/>
        <w:widowControl w:val="0"/>
        <w:numPr>
          <w:ilvl w:val="2"/>
          <w:numId w:val="1"/>
        </w:numPr>
        <w:spacing w:line="360" w:lineRule="auto"/>
        <w:ind w:firstLine="200" w:firstLineChars="0"/>
        <w:jc w:val="both"/>
        <w:outlineLvl w:val="2"/>
        <w:rPr>
          <w:rFonts w:ascii="Times New Roman" w:hAnsi="Times New Roman" w:eastAsia="宋体" w:cstheme="minorBidi"/>
          <w:bCs/>
          <w:kern w:val="2"/>
          <w:sz w:val="24"/>
          <w:szCs w:val="32"/>
          <w:lang w:val="en-US" w:eastAsia="zh-CN" w:bidi="ar-SA"/>
        </w:rPr>
      </w:pPr>
      <w:r>
        <w:rPr>
          <w:rFonts w:hint="eastAsia" w:ascii="Times New Roman" w:hAnsi="Times New Roman" w:eastAsia="宋体" w:cstheme="minorBidi"/>
          <w:bCs/>
          <w:kern w:val="2"/>
          <w:sz w:val="24"/>
          <w:szCs w:val="32"/>
          <w:lang w:val="en-US" w:eastAsia="zh-CN" w:bidi="ar-SA"/>
        </w:rPr>
        <w:t>专职管理人员应熟练掌握各项监测软件的使用，如果系统出现异常应及时上报，并应协助专业人员查明原因、排除故障。</w:t>
      </w:r>
    </w:p>
    <w:p>
      <w:pPr>
        <w:keepNext/>
        <w:keepLines/>
        <w:widowControl w:val="0"/>
        <w:numPr>
          <w:ilvl w:val="2"/>
          <w:numId w:val="1"/>
        </w:numPr>
        <w:spacing w:line="360" w:lineRule="auto"/>
        <w:ind w:firstLine="200" w:firstLineChars="0"/>
        <w:jc w:val="both"/>
        <w:outlineLvl w:val="2"/>
        <w:rPr>
          <w:rFonts w:ascii="Times New Roman" w:hAnsi="Times New Roman" w:eastAsia="宋体" w:cstheme="minorBidi"/>
          <w:bCs/>
          <w:kern w:val="2"/>
          <w:sz w:val="24"/>
          <w:szCs w:val="32"/>
          <w:highlight w:val="none"/>
          <w:lang w:val="en-US" w:eastAsia="zh-CN" w:bidi="ar-SA"/>
        </w:rPr>
      </w:pPr>
      <w:r>
        <w:rPr>
          <w:rFonts w:hint="eastAsia" w:ascii="Times New Roman" w:hAnsi="Times New Roman" w:eastAsia="宋体" w:cstheme="minorBidi"/>
          <w:bCs/>
          <w:kern w:val="2"/>
          <w:sz w:val="24"/>
          <w:szCs w:val="32"/>
          <w:lang w:val="en-US" w:eastAsia="zh-CN" w:bidi="ar-SA"/>
        </w:rPr>
        <w:t>应提前制定可预见预警情况的处置方案，对不可预见的预警情况应进行</w:t>
      </w:r>
      <w:r>
        <w:rPr>
          <w:rFonts w:hint="eastAsia" w:ascii="Times New Roman" w:hAnsi="Times New Roman" w:eastAsia="宋体" w:cstheme="minorBidi"/>
          <w:bCs/>
          <w:kern w:val="2"/>
          <w:sz w:val="24"/>
          <w:szCs w:val="32"/>
          <w:highlight w:val="none"/>
          <w:lang w:val="en-US" w:eastAsia="zh-CN" w:bidi="ar-SA"/>
        </w:rPr>
        <w:t>记录存档，预警处理流程应符合下列规定：</w:t>
      </w:r>
    </w:p>
    <w:p>
      <w:pPr>
        <w:ind w:firstLine="480"/>
        <w:rPr>
          <w:rFonts w:hint="default" w:ascii="Times New Roman" w:hAnsi="Times New Roman" w:eastAsia="宋体"/>
          <w:highlight w:val="none"/>
          <w:lang w:val="en-US" w:eastAsia="zh-CN"/>
        </w:rPr>
      </w:pPr>
      <w:r>
        <w:rPr>
          <w:rFonts w:hint="eastAsia" w:ascii="Times New Roman" w:hAnsi="Times New Roman"/>
          <w:highlight w:val="none"/>
          <w:lang w:val="en-US" w:eastAsia="zh-CN"/>
        </w:rPr>
        <w:t>1</w:t>
      </w:r>
      <w:r>
        <w:rPr>
          <w:rFonts w:ascii="Times New Roman" w:hAnsi="Times New Roman"/>
          <w:highlight w:val="none"/>
        </w:rPr>
        <w:t xml:space="preserve"> </w:t>
      </w:r>
      <w:r>
        <w:rPr>
          <w:rFonts w:hint="eastAsia" w:ascii="Times New Roman" w:hAnsi="Times New Roman"/>
          <w:highlight w:val="none"/>
          <w:lang w:val="en-US" w:eastAsia="zh-CN"/>
        </w:rPr>
        <w:t>蓝色预警：</w:t>
      </w:r>
      <w:r>
        <w:rPr>
          <w:rFonts w:hint="eastAsia" w:ascii="Times New Roman" w:hAnsi="Times New Roman"/>
          <w:highlight w:val="none"/>
        </w:rPr>
        <w:t>当某项指标</w:t>
      </w:r>
      <w:r>
        <w:rPr>
          <w:rFonts w:hint="eastAsia" w:ascii="Times New Roman" w:hAnsi="Times New Roman"/>
          <w:highlight w:val="none"/>
          <w:lang w:val="en-US" w:eastAsia="zh-CN"/>
        </w:rPr>
        <w:t>经常性</w:t>
      </w:r>
      <w:r>
        <w:rPr>
          <w:rFonts w:hint="eastAsia" w:ascii="Times New Roman" w:hAnsi="Times New Roman"/>
          <w:highlight w:val="none"/>
        </w:rPr>
        <w:t>超过</w:t>
      </w:r>
      <w:r>
        <w:rPr>
          <w:rFonts w:hint="eastAsia" w:ascii="Times New Roman" w:hAnsi="Times New Roman"/>
          <w:highlight w:val="none"/>
          <w:lang w:val="en-US" w:eastAsia="zh-CN"/>
        </w:rPr>
        <w:t>蓝</w:t>
      </w:r>
      <w:r>
        <w:rPr>
          <w:rFonts w:hint="eastAsia" w:ascii="Times New Roman" w:hAnsi="Times New Roman"/>
          <w:highlight w:val="none"/>
        </w:rPr>
        <w:t>色</w:t>
      </w:r>
      <w:r>
        <w:rPr>
          <w:rFonts w:hint="eastAsia" w:ascii="Times New Roman" w:hAnsi="Times New Roman"/>
          <w:highlight w:val="none"/>
          <w:lang w:val="en-US" w:eastAsia="zh-CN"/>
        </w:rPr>
        <w:t>预警</w:t>
      </w:r>
      <w:r>
        <w:rPr>
          <w:rFonts w:hint="eastAsia" w:ascii="Times New Roman" w:hAnsi="Times New Roman"/>
          <w:highlight w:val="none"/>
        </w:rPr>
        <w:t>阈值时，管养单位</w:t>
      </w:r>
      <w:r>
        <w:rPr>
          <w:rFonts w:hint="eastAsia" w:ascii="Times New Roman" w:hAnsi="Times New Roman"/>
          <w:highlight w:val="none"/>
          <w:lang w:val="en-US" w:eastAsia="zh-CN"/>
        </w:rPr>
        <w:t>应注意观察预警时间及规律</w:t>
      </w:r>
      <w:r>
        <w:rPr>
          <w:rFonts w:hint="eastAsia" w:ascii="Times New Roman" w:hAnsi="Times New Roman"/>
          <w:highlight w:val="none"/>
        </w:rPr>
        <w:t>，进行初步分析</w:t>
      </w:r>
      <w:r>
        <w:rPr>
          <w:rFonts w:hint="eastAsia" w:ascii="Times New Roman" w:hAnsi="Times New Roman"/>
          <w:highlight w:val="none"/>
          <w:lang w:val="en-US" w:eastAsia="zh-CN"/>
        </w:rPr>
        <w:t>后研判是否需要调整预警</w:t>
      </w:r>
      <w:r>
        <w:rPr>
          <w:rFonts w:hint="eastAsia" w:ascii="Times New Roman" w:hAnsi="Times New Roman"/>
          <w:highlight w:val="none"/>
        </w:rPr>
        <w:t>阈值</w:t>
      </w:r>
      <w:r>
        <w:rPr>
          <w:rFonts w:hint="eastAsia" w:ascii="Times New Roman" w:hAnsi="Times New Roman"/>
          <w:highlight w:val="none"/>
          <w:lang w:eastAsia="zh-CN"/>
        </w:rPr>
        <w:t>。</w:t>
      </w:r>
      <w:r>
        <w:rPr>
          <w:rFonts w:hint="eastAsia" w:ascii="Times New Roman" w:hAnsi="Times New Roman"/>
          <w:highlight w:val="none"/>
          <w:lang w:val="en-US" w:eastAsia="zh-CN"/>
        </w:rPr>
        <w:t>调整预警</w:t>
      </w:r>
      <w:r>
        <w:rPr>
          <w:rFonts w:hint="eastAsia" w:ascii="Times New Roman" w:hAnsi="Times New Roman"/>
          <w:highlight w:val="none"/>
        </w:rPr>
        <w:t>阈值</w:t>
      </w:r>
      <w:r>
        <w:rPr>
          <w:rFonts w:hint="eastAsia" w:ascii="Times New Roman" w:hAnsi="Times New Roman"/>
          <w:highlight w:val="none"/>
          <w:lang w:val="en-US" w:eastAsia="zh-CN"/>
        </w:rPr>
        <w:t>应参考专业工程技术人员意见，并报主管领导同意。</w:t>
      </w:r>
    </w:p>
    <w:p>
      <w:pPr>
        <w:spacing w:line="360" w:lineRule="auto"/>
        <w:ind w:firstLine="480"/>
        <w:rPr>
          <w:rFonts w:ascii="Times New Roman" w:hAnsi="Times New Roman"/>
          <w:highlight w:val="none"/>
        </w:rPr>
      </w:pPr>
      <w:r>
        <w:rPr>
          <w:rFonts w:hint="eastAsia" w:ascii="Times New Roman" w:hAnsi="Times New Roman"/>
          <w:highlight w:val="none"/>
          <w:lang w:val="en-US" w:eastAsia="zh-CN"/>
        </w:rPr>
        <w:t>2</w:t>
      </w:r>
      <w:r>
        <w:rPr>
          <w:rFonts w:ascii="Times New Roman" w:hAnsi="Times New Roman"/>
          <w:highlight w:val="none"/>
        </w:rPr>
        <w:t xml:space="preserve"> </w:t>
      </w:r>
      <w:r>
        <w:rPr>
          <w:rFonts w:hint="eastAsia" w:ascii="Times New Roman" w:hAnsi="Times New Roman"/>
          <w:highlight w:val="none"/>
        </w:rPr>
        <w:t>黄色预警：当某项指标超过黄色阈值时，桥梁管养单位应对预警项重点关注，对报警原因进行初步分析，判断预警项是否恢复正常，当出现连续报警时，应及时上报，并做好记录。</w:t>
      </w:r>
    </w:p>
    <w:p>
      <w:pPr>
        <w:spacing w:line="360" w:lineRule="auto"/>
        <w:ind w:firstLine="480"/>
        <w:rPr>
          <w:rFonts w:ascii="Times New Roman" w:hAnsi="Times New Roman"/>
          <w:highlight w:val="none"/>
        </w:rPr>
      </w:pPr>
      <w:r>
        <w:rPr>
          <w:rFonts w:hint="eastAsia" w:ascii="Times New Roman" w:hAnsi="Times New Roman"/>
          <w:highlight w:val="none"/>
          <w:lang w:val="en-US" w:eastAsia="zh-CN"/>
        </w:rPr>
        <w:t>3</w:t>
      </w:r>
      <w:r>
        <w:rPr>
          <w:rFonts w:ascii="Times New Roman" w:hAnsi="Times New Roman"/>
          <w:highlight w:val="none"/>
        </w:rPr>
        <w:t xml:space="preserve"> </w:t>
      </w:r>
      <w:r>
        <w:rPr>
          <w:rFonts w:hint="eastAsia" w:ascii="Times New Roman" w:hAnsi="Times New Roman"/>
          <w:highlight w:val="none"/>
        </w:rPr>
        <w:t>红色预警：当某项指标超过红色阈值、或多项指标同时超过黄色阈值、或发生极端突发事件时，应立即上报，并做好记录。</w:t>
      </w:r>
    </w:p>
    <w:p>
      <w:pPr>
        <w:keepNext/>
        <w:keepLines/>
        <w:widowControl w:val="0"/>
        <w:numPr>
          <w:ilvl w:val="2"/>
          <w:numId w:val="1"/>
        </w:numPr>
        <w:spacing w:line="360" w:lineRule="auto"/>
        <w:ind w:firstLine="200" w:firstLineChars="0"/>
        <w:jc w:val="both"/>
        <w:outlineLvl w:val="2"/>
        <w:rPr>
          <w:rFonts w:ascii="Times New Roman" w:hAnsi="Times New Roman" w:eastAsia="宋体" w:cstheme="minorBidi"/>
          <w:bCs/>
          <w:kern w:val="2"/>
          <w:sz w:val="24"/>
          <w:szCs w:val="32"/>
          <w:lang w:val="en-US" w:eastAsia="zh-CN" w:bidi="ar-SA"/>
        </w:rPr>
      </w:pPr>
      <w:r>
        <w:rPr>
          <w:rFonts w:hint="eastAsia" w:ascii="Times New Roman" w:hAnsi="Times New Roman" w:eastAsia="宋体" w:cstheme="minorBidi"/>
          <w:bCs/>
          <w:kern w:val="2"/>
          <w:sz w:val="24"/>
          <w:szCs w:val="32"/>
          <w:lang w:val="en-US" w:eastAsia="zh-CN" w:bidi="ar-SA"/>
        </w:rPr>
        <w:t>遭遇地震、洪水、台风、火灾及车船撞击等特殊事件或设备发生故障后应及时检查，响应时间不宜超过24h，检查内容应符合下列规定：</w:t>
      </w:r>
    </w:p>
    <w:p>
      <w:pPr>
        <w:spacing w:line="360" w:lineRule="auto"/>
        <w:ind w:firstLine="480"/>
        <w:rPr>
          <w:rFonts w:ascii="Times New Roman" w:hAnsi="Times New Roman"/>
        </w:rPr>
      </w:pPr>
      <w:r>
        <w:rPr>
          <w:rFonts w:ascii="Times New Roman" w:hAnsi="Times New Roman"/>
        </w:rPr>
        <w:t xml:space="preserve">1 </w:t>
      </w:r>
      <w:r>
        <w:rPr>
          <w:rFonts w:hint="eastAsia" w:ascii="Times New Roman" w:hAnsi="Times New Roman"/>
        </w:rPr>
        <w:t>软件检查内容包括：数据完整性检查、性能指标检查、预警功能检查、软件可用性与安全性检查等。</w:t>
      </w:r>
    </w:p>
    <w:p>
      <w:pPr>
        <w:spacing w:line="360" w:lineRule="auto"/>
        <w:ind w:firstLine="480"/>
        <w:rPr>
          <w:rFonts w:ascii="Times New Roman" w:hAnsi="Times New Roman"/>
        </w:rPr>
      </w:pPr>
      <w:r>
        <w:rPr>
          <w:rFonts w:ascii="Times New Roman" w:hAnsi="Times New Roman"/>
        </w:rPr>
        <w:t>2</w:t>
      </w:r>
      <w:r>
        <w:rPr>
          <w:rFonts w:hint="eastAsia" w:ascii="Times New Roman" w:hAnsi="Times New Roman"/>
        </w:rPr>
        <w:t xml:space="preserve"> 硬件检查内容包括：时钟系统检查、单板运行状态检查、终端系统检查和配线系统检查等。</w:t>
      </w:r>
    </w:p>
    <w:p>
      <w:pPr>
        <w:spacing w:line="360" w:lineRule="auto"/>
        <w:ind w:firstLine="480"/>
        <w:rPr>
          <w:rFonts w:ascii="Times New Roman" w:hAnsi="Times New Roman"/>
        </w:rPr>
      </w:pPr>
      <w:r>
        <w:rPr>
          <w:rFonts w:ascii="Times New Roman" w:hAnsi="Times New Roman"/>
        </w:rPr>
        <w:t>3</w:t>
      </w:r>
      <w:r>
        <w:rPr>
          <w:rFonts w:hint="eastAsia" w:ascii="Times New Roman" w:hAnsi="Times New Roman"/>
        </w:rPr>
        <w:t xml:space="preserve"> 环境检查内容包括：地线检查、配线架检查、配电检查、机房及机柜温湿度检查、机房防护检查等。</w:t>
      </w:r>
    </w:p>
    <w:p>
      <w:pPr>
        <w:keepNext/>
        <w:keepLines/>
        <w:widowControl w:val="0"/>
        <w:numPr>
          <w:ilvl w:val="2"/>
          <w:numId w:val="1"/>
        </w:numPr>
        <w:spacing w:line="360" w:lineRule="auto"/>
        <w:ind w:firstLine="200" w:firstLineChars="0"/>
        <w:jc w:val="both"/>
        <w:outlineLvl w:val="2"/>
        <w:rPr>
          <w:rFonts w:ascii="Times New Roman" w:hAnsi="Times New Roman" w:eastAsia="宋体" w:cstheme="minorBidi"/>
          <w:bCs/>
          <w:kern w:val="2"/>
          <w:sz w:val="24"/>
          <w:szCs w:val="32"/>
          <w:lang w:val="en-US" w:eastAsia="zh-CN" w:bidi="ar-SA"/>
        </w:rPr>
      </w:pPr>
      <w:r>
        <w:rPr>
          <w:rFonts w:hint="eastAsia" w:ascii="Times New Roman" w:hAnsi="Times New Roman" w:eastAsia="宋体" w:cstheme="minorBidi"/>
          <w:bCs/>
          <w:kern w:val="2"/>
          <w:sz w:val="24"/>
          <w:szCs w:val="32"/>
          <w:lang w:val="en-US" w:eastAsia="zh-CN" w:bidi="ar-SA"/>
        </w:rPr>
        <w:t>系统异常检查完成后，应及时填写维护记录，且应符合下列规定：</w:t>
      </w:r>
    </w:p>
    <w:p>
      <w:pPr>
        <w:spacing w:line="360" w:lineRule="auto"/>
        <w:ind w:firstLine="480"/>
        <w:rPr>
          <w:rFonts w:ascii="Times New Roman" w:hAnsi="Times New Roman"/>
        </w:rPr>
      </w:pPr>
      <w:r>
        <w:rPr>
          <w:rFonts w:hint="eastAsia" w:ascii="Times New Roman" w:hAnsi="Times New Roman"/>
        </w:rPr>
        <w:t>1 传感器的异常检查宜按附录</w:t>
      </w:r>
      <w:r>
        <w:rPr>
          <w:rFonts w:ascii="Times New Roman" w:hAnsi="Times New Roman"/>
        </w:rPr>
        <w:t>B</w:t>
      </w:r>
      <w:r>
        <w:rPr>
          <w:rFonts w:hint="eastAsia" w:ascii="Times New Roman" w:hAnsi="Times New Roman"/>
        </w:rPr>
        <w:t>中表</w:t>
      </w:r>
      <w:r>
        <w:rPr>
          <w:rFonts w:ascii="Times New Roman" w:hAnsi="Times New Roman"/>
        </w:rPr>
        <w:t>B</w:t>
      </w:r>
      <w:r>
        <w:rPr>
          <w:rFonts w:hint="eastAsia" w:ascii="Times New Roman" w:hAnsi="Times New Roman"/>
        </w:rPr>
        <w:t>.7中的要求进行记录。</w:t>
      </w:r>
    </w:p>
    <w:p>
      <w:pPr>
        <w:spacing w:line="360" w:lineRule="auto"/>
        <w:ind w:firstLine="480"/>
        <w:rPr>
          <w:rFonts w:ascii="Times New Roman" w:hAnsi="Times New Roman"/>
        </w:rPr>
      </w:pPr>
      <w:r>
        <w:rPr>
          <w:rFonts w:hint="eastAsia" w:ascii="Times New Roman" w:hAnsi="Times New Roman"/>
        </w:rPr>
        <w:t>2 采集设备的异常检查宜按附录</w:t>
      </w:r>
      <w:r>
        <w:rPr>
          <w:rFonts w:ascii="Times New Roman" w:hAnsi="Times New Roman"/>
        </w:rPr>
        <w:t>B</w:t>
      </w:r>
      <w:r>
        <w:rPr>
          <w:rFonts w:hint="eastAsia" w:ascii="Times New Roman" w:hAnsi="Times New Roman"/>
        </w:rPr>
        <w:t>中表</w:t>
      </w:r>
      <w:r>
        <w:rPr>
          <w:rFonts w:ascii="Times New Roman" w:hAnsi="Times New Roman"/>
        </w:rPr>
        <w:t>B</w:t>
      </w:r>
      <w:r>
        <w:rPr>
          <w:rFonts w:hint="eastAsia" w:ascii="Times New Roman" w:hAnsi="Times New Roman"/>
        </w:rPr>
        <w:t>.8中的要求进行记录。</w:t>
      </w:r>
    </w:p>
    <w:p>
      <w:pPr>
        <w:spacing w:line="360" w:lineRule="auto"/>
        <w:ind w:firstLine="480"/>
        <w:rPr>
          <w:rFonts w:ascii="Times New Roman" w:hAnsi="Times New Roman"/>
        </w:rPr>
      </w:pPr>
      <w:r>
        <w:rPr>
          <w:rFonts w:hint="eastAsia" w:ascii="Times New Roman" w:hAnsi="Times New Roman"/>
        </w:rPr>
        <w:t>3 系统软件的异常检查宜按附录</w:t>
      </w:r>
      <w:r>
        <w:rPr>
          <w:rFonts w:ascii="Times New Roman" w:hAnsi="Times New Roman"/>
        </w:rPr>
        <w:t>B</w:t>
      </w:r>
      <w:r>
        <w:rPr>
          <w:rFonts w:hint="eastAsia" w:ascii="Times New Roman" w:hAnsi="Times New Roman"/>
        </w:rPr>
        <w:t>中表</w:t>
      </w:r>
      <w:r>
        <w:rPr>
          <w:rFonts w:ascii="Times New Roman" w:hAnsi="Times New Roman"/>
        </w:rPr>
        <w:t>B</w:t>
      </w:r>
      <w:r>
        <w:rPr>
          <w:rFonts w:hint="eastAsia" w:ascii="Times New Roman" w:hAnsi="Times New Roman"/>
        </w:rPr>
        <w:t>.9中的要求进行记录。</w:t>
      </w:r>
    </w:p>
    <w:p>
      <w:pPr>
        <w:keepNext/>
        <w:keepLines/>
        <w:widowControl w:val="0"/>
        <w:numPr>
          <w:ilvl w:val="2"/>
          <w:numId w:val="1"/>
        </w:numPr>
        <w:spacing w:line="360" w:lineRule="auto"/>
        <w:ind w:firstLine="200" w:firstLineChars="0"/>
        <w:jc w:val="both"/>
        <w:outlineLvl w:val="2"/>
        <w:rPr>
          <w:rFonts w:ascii="Times New Roman" w:hAnsi="Times New Roman" w:eastAsia="宋体" w:cstheme="minorBidi"/>
          <w:bCs/>
          <w:kern w:val="2"/>
          <w:sz w:val="24"/>
          <w:szCs w:val="32"/>
          <w:lang w:val="en-US" w:eastAsia="zh-CN" w:bidi="ar-SA"/>
        </w:rPr>
      </w:pPr>
      <w:r>
        <w:rPr>
          <w:rFonts w:hint="eastAsia" w:ascii="Times New Roman" w:hAnsi="Times New Roman" w:eastAsia="宋体" w:cstheme="minorBidi"/>
          <w:bCs/>
          <w:kern w:val="2"/>
          <w:sz w:val="24"/>
          <w:szCs w:val="32"/>
          <w:lang w:val="en-US" w:eastAsia="zh-CN" w:bidi="ar-SA"/>
        </w:rPr>
        <w:t>桥梁健康监测系统异常检查应在检查后一周内向上一级管理部门和负责人上报异常处置报告并存档。</w:t>
      </w:r>
    </w:p>
    <w:p>
      <w:pPr>
        <w:ind w:firstLine="0" w:firstLineChars="0"/>
        <w:rPr>
          <w:rFonts w:ascii="Times New Roman" w:hAnsi="Times New Roman"/>
        </w:rPr>
      </w:pPr>
    </w:p>
    <w:p>
      <w:pPr>
        <w:ind w:firstLine="480"/>
        <w:sectPr>
          <w:pgSz w:w="11906" w:h="16838"/>
          <w:pgMar w:top="1440" w:right="1800" w:bottom="1440" w:left="1800" w:header="851" w:footer="992" w:gutter="0"/>
          <w:cols w:space="425" w:num="1"/>
          <w:docGrid w:type="lines" w:linePitch="312" w:charSpace="0"/>
        </w:sectPr>
      </w:pPr>
    </w:p>
    <w:p>
      <w:pPr>
        <w:pStyle w:val="32"/>
      </w:pPr>
      <w:r>
        <w:t>附录</w:t>
      </w:r>
      <w:r>
        <w:rPr>
          <w:rFonts w:hint="eastAsia"/>
        </w:rPr>
        <w:t>A</w:t>
      </w:r>
      <w:bookmarkStart w:id="103" w:name="_Toc42261354"/>
      <w:bookmarkStart w:id="104" w:name="_Toc42261137"/>
      <w:r>
        <w:rPr>
          <w:rFonts w:hint="eastAsia"/>
        </w:rPr>
        <w:t>（资料性）验收表格</w:t>
      </w:r>
      <w:bookmarkEnd w:id="95"/>
      <w:bookmarkEnd w:id="103"/>
      <w:bookmarkEnd w:id="104"/>
    </w:p>
    <w:tbl>
      <w:tblPr>
        <w:tblStyle w:val="23"/>
        <w:tblW w:w="82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53"/>
        <w:gridCol w:w="698"/>
        <w:gridCol w:w="705"/>
        <w:gridCol w:w="3714"/>
        <w:gridCol w:w="14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8" w:hRule="atLeast"/>
          <w:jc w:val="center"/>
        </w:trPr>
        <w:tc>
          <w:tcPr>
            <w:tcW w:w="8296" w:type="dxa"/>
            <w:gridSpan w:val="5"/>
            <w:tcBorders>
              <w:top w:val="nil"/>
              <w:left w:val="nil"/>
              <w:right w:val="nil"/>
            </w:tcBorders>
            <w:shd w:val="clear" w:color="auto" w:fill="auto"/>
          </w:tcPr>
          <w:p>
            <w:pPr>
              <w:pStyle w:val="38"/>
            </w:pPr>
            <w:r>
              <w:rPr>
                <w:rFonts w:hint="eastAsia" w:hAnsi="黑体" w:cs="黑体"/>
                <w:bCs/>
                <w:szCs w:val="32"/>
              </w:rPr>
              <w:t>表</w:t>
            </w:r>
            <w:r>
              <w:t>A.</w:t>
            </w:r>
            <w:r>
              <w:fldChar w:fldCharType="begin"/>
            </w:r>
            <w:r>
              <w:instrText xml:space="preserve"> SEQ 附录表B \* ARABIC </w:instrText>
            </w:r>
            <w:r>
              <w:fldChar w:fldCharType="separate"/>
            </w:r>
            <w:r>
              <w:t>1</w:t>
            </w:r>
            <w:r>
              <w:fldChar w:fldCharType="end"/>
            </w:r>
            <w:r>
              <w:rPr>
                <w:rFonts w:hint="eastAsia"/>
              </w:rPr>
              <w:t xml:space="preserve"> </w:t>
            </w:r>
            <w:r>
              <w:rPr>
                <w:rFonts w:hAnsi="黑体" w:cs="黑体"/>
                <w:bCs/>
                <w:szCs w:val="32"/>
              </w:rPr>
              <w:t xml:space="preserve">  </w:t>
            </w:r>
            <w:r>
              <w:rPr>
                <w:rFonts w:hint="eastAsia"/>
              </w:rPr>
              <w:t>单项调试报告1 -供电调试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8" w:hRule="atLeast"/>
          <w:jc w:val="center"/>
        </w:trPr>
        <w:tc>
          <w:tcPr>
            <w:tcW w:w="1753" w:type="dxa"/>
            <w:shd w:val="clear" w:color="auto" w:fill="auto"/>
          </w:tcPr>
          <w:p>
            <w:pPr>
              <w:pStyle w:val="49"/>
            </w:pPr>
            <w:r>
              <w:rPr>
                <w:rFonts w:hint="eastAsia"/>
              </w:rPr>
              <w:t>检验项目</w:t>
            </w:r>
          </w:p>
        </w:tc>
        <w:tc>
          <w:tcPr>
            <w:tcW w:w="698" w:type="dxa"/>
            <w:shd w:val="clear" w:color="auto" w:fill="auto"/>
          </w:tcPr>
          <w:p>
            <w:pPr>
              <w:pStyle w:val="49"/>
            </w:pPr>
            <w:r>
              <w:rPr>
                <w:rFonts w:hint="eastAsia"/>
              </w:rPr>
              <w:t>性质</w:t>
            </w:r>
          </w:p>
        </w:tc>
        <w:tc>
          <w:tcPr>
            <w:tcW w:w="705" w:type="dxa"/>
            <w:shd w:val="clear" w:color="auto" w:fill="auto"/>
          </w:tcPr>
          <w:p>
            <w:pPr>
              <w:pStyle w:val="49"/>
            </w:pPr>
            <w:r>
              <w:rPr>
                <w:rFonts w:hint="eastAsia"/>
              </w:rPr>
              <w:t>单位</w:t>
            </w:r>
          </w:p>
        </w:tc>
        <w:tc>
          <w:tcPr>
            <w:tcW w:w="3714" w:type="dxa"/>
            <w:shd w:val="clear" w:color="auto" w:fill="auto"/>
          </w:tcPr>
          <w:p>
            <w:pPr>
              <w:pStyle w:val="49"/>
            </w:pPr>
            <w:r>
              <w:rPr>
                <w:rFonts w:hint="eastAsia"/>
              </w:rPr>
              <w:t>质量标准</w:t>
            </w:r>
          </w:p>
        </w:tc>
        <w:tc>
          <w:tcPr>
            <w:tcW w:w="1426" w:type="dxa"/>
            <w:shd w:val="clear" w:color="auto" w:fill="auto"/>
          </w:tcPr>
          <w:p>
            <w:pPr>
              <w:pStyle w:val="49"/>
            </w:pPr>
            <w:r>
              <w:rPr>
                <w:rFonts w:hint="eastAsia"/>
              </w:rPr>
              <w:t>检查方法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53" w:type="dxa"/>
            <w:shd w:val="clear" w:color="auto" w:fill="auto"/>
          </w:tcPr>
          <w:p>
            <w:pPr>
              <w:pStyle w:val="49"/>
            </w:pPr>
            <w:r>
              <w:rPr>
                <w:rFonts w:hint="eastAsia"/>
              </w:rPr>
              <w:t>绝缘电阻</w:t>
            </w:r>
          </w:p>
        </w:tc>
        <w:tc>
          <w:tcPr>
            <w:tcW w:w="698" w:type="dxa"/>
            <w:shd w:val="clear" w:color="auto" w:fill="auto"/>
          </w:tcPr>
          <w:p>
            <w:pPr>
              <w:pStyle w:val="49"/>
            </w:pPr>
          </w:p>
        </w:tc>
        <w:tc>
          <w:tcPr>
            <w:tcW w:w="705" w:type="dxa"/>
            <w:shd w:val="clear" w:color="auto" w:fill="auto"/>
          </w:tcPr>
          <w:p>
            <w:pPr>
              <w:pStyle w:val="49"/>
            </w:pPr>
            <w:r>
              <w:t>MΩ</w:t>
            </w:r>
          </w:p>
        </w:tc>
        <w:tc>
          <w:tcPr>
            <w:tcW w:w="3714" w:type="dxa"/>
            <w:shd w:val="clear" w:color="auto" w:fill="auto"/>
          </w:tcPr>
          <w:p>
            <w:pPr>
              <w:pStyle w:val="49"/>
            </w:pPr>
            <w:r>
              <w:rPr>
                <w:rFonts w:hint="eastAsia"/>
              </w:rPr>
              <w:t>满足设计要求</w:t>
            </w:r>
          </w:p>
        </w:tc>
        <w:tc>
          <w:tcPr>
            <w:tcW w:w="1426" w:type="dxa"/>
            <w:shd w:val="clear" w:color="auto" w:fill="auto"/>
            <w:vAlign w:val="center"/>
          </w:tcPr>
          <w:p>
            <w:pPr>
              <w:pStyle w:val="49"/>
            </w:pPr>
            <w:r>
              <w:rPr>
                <w:rFonts w:hint="eastAsia"/>
              </w:rPr>
              <w:t>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53" w:type="dxa"/>
            <w:shd w:val="clear" w:color="auto" w:fill="auto"/>
            <w:vAlign w:val="center"/>
          </w:tcPr>
          <w:p>
            <w:pPr>
              <w:pStyle w:val="49"/>
            </w:pPr>
            <w:r>
              <w:rPr>
                <w:rFonts w:hint="eastAsia"/>
              </w:rPr>
              <w:t>电压稳定性</w:t>
            </w:r>
          </w:p>
        </w:tc>
        <w:tc>
          <w:tcPr>
            <w:tcW w:w="698" w:type="dxa"/>
            <w:shd w:val="clear" w:color="auto" w:fill="auto"/>
            <w:vAlign w:val="center"/>
          </w:tcPr>
          <w:p>
            <w:pPr>
              <w:pStyle w:val="49"/>
            </w:pPr>
            <w:r>
              <w:rPr>
                <w:rFonts w:hint="eastAsia"/>
              </w:rPr>
              <w:t>主控</w:t>
            </w:r>
          </w:p>
        </w:tc>
        <w:tc>
          <w:tcPr>
            <w:tcW w:w="705" w:type="dxa"/>
            <w:shd w:val="clear" w:color="auto" w:fill="auto"/>
            <w:vAlign w:val="center"/>
          </w:tcPr>
          <w:p>
            <w:pPr>
              <w:pStyle w:val="49"/>
            </w:pPr>
            <w:r>
              <w:t>%</w:t>
            </w:r>
          </w:p>
        </w:tc>
        <w:tc>
          <w:tcPr>
            <w:tcW w:w="3714" w:type="dxa"/>
            <w:shd w:val="clear" w:color="auto" w:fill="auto"/>
          </w:tcPr>
          <w:p>
            <w:pPr>
              <w:pStyle w:val="49"/>
            </w:pPr>
            <w:r>
              <w:rPr>
                <w:rFonts w:hint="eastAsia"/>
              </w:rPr>
              <w:t>市电220V，电压波动≤±10%；</w:t>
            </w:r>
          </w:p>
          <w:p>
            <w:pPr>
              <w:pStyle w:val="49"/>
            </w:pPr>
            <w:r>
              <w:rPr>
                <w:rFonts w:hint="eastAsia"/>
              </w:rPr>
              <w:t>60V以上直流电压波动≤±10%；</w:t>
            </w:r>
          </w:p>
          <w:p>
            <w:pPr>
              <w:pStyle w:val="49"/>
            </w:pPr>
            <w:r>
              <w:rPr>
                <w:rFonts w:hint="eastAsia"/>
              </w:rPr>
              <w:t>60V以下直流电压波动≤±5%；</w:t>
            </w:r>
          </w:p>
        </w:tc>
        <w:tc>
          <w:tcPr>
            <w:tcW w:w="1426" w:type="dxa"/>
            <w:shd w:val="clear" w:color="auto" w:fill="auto"/>
            <w:vAlign w:val="center"/>
          </w:tcPr>
          <w:p>
            <w:pPr>
              <w:pStyle w:val="49"/>
            </w:pPr>
            <w:r>
              <w:rPr>
                <w:rFonts w:hint="eastAsia"/>
              </w:rPr>
              <w:t>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53" w:type="dxa"/>
            <w:shd w:val="clear" w:color="auto" w:fill="auto"/>
            <w:vAlign w:val="center"/>
          </w:tcPr>
          <w:p>
            <w:pPr>
              <w:pStyle w:val="49"/>
            </w:pPr>
            <w:r>
              <w:rPr>
                <w:rFonts w:hint="eastAsia"/>
              </w:rPr>
              <w:t>不间断电源</w:t>
            </w:r>
          </w:p>
        </w:tc>
        <w:tc>
          <w:tcPr>
            <w:tcW w:w="698" w:type="dxa"/>
            <w:shd w:val="clear" w:color="auto" w:fill="auto"/>
            <w:vAlign w:val="center"/>
          </w:tcPr>
          <w:p>
            <w:pPr>
              <w:pStyle w:val="49"/>
            </w:pPr>
          </w:p>
        </w:tc>
        <w:tc>
          <w:tcPr>
            <w:tcW w:w="705" w:type="dxa"/>
            <w:shd w:val="clear" w:color="auto" w:fill="auto"/>
            <w:vAlign w:val="center"/>
          </w:tcPr>
          <w:p>
            <w:pPr>
              <w:pStyle w:val="49"/>
            </w:pPr>
          </w:p>
        </w:tc>
        <w:tc>
          <w:tcPr>
            <w:tcW w:w="3714" w:type="dxa"/>
            <w:shd w:val="clear" w:color="auto" w:fill="auto"/>
          </w:tcPr>
          <w:p>
            <w:pPr>
              <w:pStyle w:val="49"/>
            </w:pPr>
            <w:r>
              <w:rPr>
                <w:rFonts w:hint="eastAsia"/>
              </w:rPr>
              <w:t>市电→电池：0</w:t>
            </w:r>
          </w:p>
          <w:p>
            <w:pPr>
              <w:pStyle w:val="49"/>
            </w:pPr>
            <w:r>
              <w:rPr>
                <w:rFonts w:hint="eastAsia"/>
              </w:rPr>
              <w:t>旁路切换＜1ms</w:t>
            </w:r>
          </w:p>
        </w:tc>
        <w:tc>
          <w:tcPr>
            <w:tcW w:w="1426" w:type="dxa"/>
            <w:shd w:val="clear" w:color="auto" w:fill="auto"/>
            <w:vAlign w:val="center"/>
          </w:tcPr>
          <w:p>
            <w:pPr>
              <w:pStyle w:val="49"/>
            </w:pPr>
            <w:r>
              <w:rPr>
                <w:rFonts w:hint="eastAsia"/>
              </w:rPr>
              <w:t>试验</w:t>
            </w:r>
          </w:p>
        </w:tc>
      </w:tr>
    </w:tbl>
    <w:p>
      <w:pPr>
        <w:pStyle w:val="38"/>
      </w:pPr>
    </w:p>
    <w:tbl>
      <w:tblPr>
        <w:tblStyle w:val="23"/>
        <w:tblW w:w="82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57"/>
        <w:gridCol w:w="698"/>
        <w:gridCol w:w="700"/>
        <w:gridCol w:w="3704"/>
        <w:gridCol w:w="14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8" w:hRule="atLeast"/>
          <w:jc w:val="center"/>
        </w:trPr>
        <w:tc>
          <w:tcPr>
            <w:tcW w:w="8296" w:type="dxa"/>
            <w:gridSpan w:val="5"/>
            <w:tcBorders>
              <w:top w:val="nil"/>
              <w:left w:val="nil"/>
              <w:right w:val="nil"/>
            </w:tcBorders>
            <w:shd w:val="clear" w:color="auto" w:fill="auto"/>
          </w:tcPr>
          <w:p>
            <w:pPr>
              <w:pStyle w:val="38"/>
            </w:pPr>
            <w:r>
              <w:rPr>
                <w:rFonts w:hint="eastAsia" w:hAnsi="黑体" w:cs="黑体"/>
                <w:bCs/>
                <w:szCs w:val="32"/>
              </w:rPr>
              <w:t>表</w:t>
            </w:r>
            <w:r>
              <w:t>A.</w:t>
            </w:r>
            <w:r>
              <w:fldChar w:fldCharType="begin"/>
            </w:r>
            <w:r>
              <w:instrText xml:space="preserve"> SEQ 附录表B \* ARABIC </w:instrText>
            </w:r>
            <w:r>
              <w:fldChar w:fldCharType="separate"/>
            </w:r>
            <w:r>
              <w:t>2</w:t>
            </w:r>
            <w:r>
              <w:fldChar w:fldCharType="end"/>
            </w:r>
            <w:r>
              <w:rPr>
                <w:rFonts w:hint="eastAsia"/>
              </w:rPr>
              <w:t xml:space="preserve"> </w:t>
            </w:r>
            <w:r>
              <w:rPr>
                <w:rFonts w:hAnsi="黑体" w:cs="黑体"/>
                <w:bCs/>
                <w:szCs w:val="32"/>
              </w:rPr>
              <w:t xml:space="preserve">  </w:t>
            </w:r>
            <w:r>
              <w:rPr>
                <w:rFonts w:hint="eastAsia"/>
              </w:rPr>
              <w:t>单项调试报告2 -信号调试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8" w:hRule="atLeast"/>
          <w:jc w:val="center"/>
        </w:trPr>
        <w:tc>
          <w:tcPr>
            <w:tcW w:w="1757" w:type="dxa"/>
            <w:shd w:val="clear" w:color="auto" w:fill="auto"/>
          </w:tcPr>
          <w:p>
            <w:pPr>
              <w:pStyle w:val="49"/>
            </w:pPr>
            <w:r>
              <w:rPr>
                <w:rFonts w:hint="eastAsia"/>
              </w:rPr>
              <w:t>检验项目</w:t>
            </w:r>
          </w:p>
        </w:tc>
        <w:tc>
          <w:tcPr>
            <w:tcW w:w="698" w:type="dxa"/>
            <w:shd w:val="clear" w:color="auto" w:fill="auto"/>
          </w:tcPr>
          <w:p>
            <w:pPr>
              <w:pStyle w:val="49"/>
            </w:pPr>
            <w:r>
              <w:rPr>
                <w:rFonts w:hint="eastAsia"/>
              </w:rPr>
              <w:t>性质</w:t>
            </w:r>
          </w:p>
        </w:tc>
        <w:tc>
          <w:tcPr>
            <w:tcW w:w="700" w:type="dxa"/>
            <w:shd w:val="clear" w:color="auto" w:fill="auto"/>
          </w:tcPr>
          <w:p>
            <w:pPr>
              <w:pStyle w:val="49"/>
            </w:pPr>
            <w:r>
              <w:rPr>
                <w:rFonts w:hint="eastAsia"/>
              </w:rPr>
              <w:t>单位</w:t>
            </w:r>
          </w:p>
        </w:tc>
        <w:tc>
          <w:tcPr>
            <w:tcW w:w="3704" w:type="dxa"/>
            <w:shd w:val="clear" w:color="auto" w:fill="auto"/>
          </w:tcPr>
          <w:p>
            <w:pPr>
              <w:pStyle w:val="49"/>
            </w:pPr>
            <w:r>
              <w:rPr>
                <w:rFonts w:hint="eastAsia"/>
              </w:rPr>
              <w:t>质量标准</w:t>
            </w:r>
          </w:p>
        </w:tc>
        <w:tc>
          <w:tcPr>
            <w:tcW w:w="1437" w:type="dxa"/>
            <w:shd w:val="clear" w:color="auto" w:fill="auto"/>
          </w:tcPr>
          <w:p>
            <w:pPr>
              <w:pStyle w:val="49"/>
            </w:pPr>
            <w:r>
              <w:rPr>
                <w:rFonts w:hint="eastAsia"/>
              </w:rPr>
              <w:t>检查方法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57" w:type="dxa"/>
            <w:shd w:val="clear" w:color="auto" w:fill="auto"/>
          </w:tcPr>
          <w:p>
            <w:pPr>
              <w:pStyle w:val="49"/>
            </w:pPr>
            <w:r>
              <w:rPr>
                <w:rFonts w:hint="eastAsia"/>
              </w:rPr>
              <w:t>传感器采集参数</w:t>
            </w:r>
          </w:p>
        </w:tc>
        <w:tc>
          <w:tcPr>
            <w:tcW w:w="698" w:type="dxa"/>
            <w:shd w:val="clear" w:color="auto" w:fill="auto"/>
          </w:tcPr>
          <w:p>
            <w:pPr>
              <w:pStyle w:val="49"/>
            </w:pPr>
            <w:r>
              <w:rPr>
                <w:rFonts w:hint="eastAsia"/>
              </w:rPr>
              <w:t>主控</w:t>
            </w:r>
          </w:p>
        </w:tc>
        <w:tc>
          <w:tcPr>
            <w:tcW w:w="700" w:type="dxa"/>
            <w:shd w:val="clear" w:color="auto" w:fill="auto"/>
          </w:tcPr>
          <w:p>
            <w:pPr>
              <w:pStyle w:val="49"/>
            </w:pPr>
          </w:p>
        </w:tc>
        <w:tc>
          <w:tcPr>
            <w:tcW w:w="3704" w:type="dxa"/>
            <w:shd w:val="clear" w:color="auto" w:fill="auto"/>
          </w:tcPr>
          <w:p>
            <w:pPr>
              <w:pStyle w:val="49"/>
            </w:pPr>
            <w:r>
              <w:rPr>
                <w:rFonts w:hint="eastAsia"/>
              </w:rPr>
              <w:t>满足设计要求</w:t>
            </w:r>
          </w:p>
        </w:tc>
        <w:tc>
          <w:tcPr>
            <w:tcW w:w="1437" w:type="dxa"/>
            <w:shd w:val="clear" w:color="auto" w:fill="auto"/>
          </w:tcPr>
          <w:p>
            <w:pPr>
              <w:pStyle w:val="49"/>
            </w:pPr>
            <w:r>
              <w:rPr>
                <w:rFonts w:hint="eastAsia"/>
              </w:rPr>
              <w:t>核查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57" w:type="dxa"/>
            <w:shd w:val="clear" w:color="auto" w:fill="auto"/>
            <w:vAlign w:val="center"/>
          </w:tcPr>
          <w:p>
            <w:pPr>
              <w:pStyle w:val="49"/>
            </w:pPr>
            <w:r>
              <w:rPr>
                <w:rFonts w:hint="eastAsia"/>
              </w:rPr>
              <w:t>数据采集稳定性</w:t>
            </w:r>
          </w:p>
        </w:tc>
        <w:tc>
          <w:tcPr>
            <w:tcW w:w="698" w:type="dxa"/>
            <w:shd w:val="clear" w:color="auto" w:fill="auto"/>
            <w:vAlign w:val="center"/>
          </w:tcPr>
          <w:p>
            <w:pPr>
              <w:pStyle w:val="49"/>
            </w:pPr>
            <w:r>
              <w:rPr>
                <w:rFonts w:hint="eastAsia"/>
              </w:rPr>
              <w:t>主控</w:t>
            </w:r>
          </w:p>
        </w:tc>
        <w:tc>
          <w:tcPr>
            <w:tcW w:w="700" w:type="dxa"/>
            <w:shd w:val="clear" w:color="auto" w:fill="auto"/>
            <w:vAlign w:val="center"/>
          </w:tcPr>
          <w:p>
            <w:pPr>
              <w:pStyle w:val="49"/>
            </w:pPr>
            <w:r>
              <w:t>%</w:t>
            </w:r>
          </w:p>
        </w:tc>
        <w:tc>
          <w:tcPr>
            <w:tcW w:w="3704" w:type="dxa"/>
            <w:shd w:val="clear" w:color="auto" w:fill="auto"/>
          </w:tcPr>
          <w:p>
            <w:pPr>
              <w:pStyle w:val="49"/>
            </w:pPr>
            <w:r>
              <w:rPr>
                <w:rFonts w:hint="eastAsia"/>
              </w:rPr>
              <w:t>满足各传感器设置采集策略</w:t>
            </w:r>
          </w:p>
        </w:tc>
        <w:tc>
          <w:tcPr>
            <w:tcW w:w="1437" w:type="dxa"/>
            <w:shd w:val="clear" w:color="auto" w:fill="auto"/>
          </w:tcPr>
          <w:p>
            <w:pPr>
              <w:pStyle w:val="49"/>
            </w:pPr>
            <w:r>
              <w:rPr>
                <w:rFonts w:hint="eastAsia"/>
              </w:rPr>
              <w:t>核查、统计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57" w:type="dxa"/>
            <w:shd w:val="clear" w:color="auto" w:fill="auto"/>
            <w:vAlign w:val="center"/>
          </w:tcPr>
          <w:p>
            <w:pPr>
              <w:pStyle w:val="49"/>
            </w:pPr>
            <w:r>
              <w:rPr>
                <w:rFonts w:hint="eastAsia"/>
              </w:rPr>
              <w:t>传感器响应时间</w:t>
            </w:r>
          </w:p>
        </w:tc>
        <w:tc>
          <w:tcPr>
            <w:tcW w:w="698" w:type="dxa"/>
            <w:shd w:val="clear" w:color="auto" w:fill="auto"/>
          </w:tcPr>
          <w:p>
            <w:pPr>
              <w:pStyle w:val="49"/>
            </w:pPr>
          </w:p>
        </w:tc>
        <w:tc>
          <w:tcPr>
            <w:tcW w:w="700" w:type="dxa"/>
            <w:shd w:val="clear" w:color="auto" w:fill="auto"/>
          </w:tcPr>
          <w:p>
            <w:pPr>
              <w:pStyle w:val="49"/>
            </w:pPr>
            <w:r>
              <w:t>ms</w:t>
            </w:r>
          </w:p>
        </w:tc>
        <w:tc>
          <w:tcPr>
            <w:tcW w:w="3704" w:type="dxa"/>
            <w:shd w:val="clear" w:color="auto" w:fill="auto"/>
          </w:tcPr>
          <w:p>
            <w:pPr>
              <w:pStyle w:val="49"/>
            </w:pPr>
            <w:r>
              <w:rPr>
                <w:rFonts w:hint="eastAsia"/>
              </w:rPr>
              <w:t>满足设计和产品技术文件要求</w:t>
            </w:r>
          </w:p>
        </w:tc>
        <w:tc>
          <w:tcPr>
            <w:tcW w:w="1437" w:type="dxa"/>
            <w:shd w:val="clear" w:color="auto" w:fill="auto"/>
          </w:tcPr>
          <w:p>
            <w:pPr>
              <w:pStyle w:val="49"/>
            </w:pPr>
            <w:r>
              <w:rPr>
                <w:rFonts w:hint="eastAsia"/>
              </w:rPr>
              <w:t>核查、统计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57" w:type="dxa"/>
            <w:shd w:val="clear" w:color="auto" w:fill="auto"/>
            <w:vAlign w:val="center"/>
          </w:tcPr>
          <w:p>
            <w:pPr>
              <w:pStyle w:val="49"/>
            </w:pPr>
            <w:r>
              <w:rPr>
                <w:rFonts w:hint="eastAsia"/>
              </w:rPr>
              <w:t>动态数据同步</w:t>
            </w:r>
          </w:p>
        </w:tc>
        <w:tc>
          <w:tcPr>
            <w:tcW w:w="698" w:type="dxa"/>
            <w:shd w:val="clear" w:color="auto" w:fill="auto"/>
          </w:tcPr>
          <w:p>
            <w:pPr>
              <w:pStyle w:val="49"/>
            </w:pPr>
          </w:p>
        </w:tc>
        <w:tc>
          <w:tcPr>
            <w:tcW w:w="700" w:type="dxa"/>
            <w:shd w:val="clear" w:color="auto" w:fill="auto"/>
          </w:tcPr>
          <w:p>
            <w:pPr>
              <w:pStyle w:val="49"/>
            </w:pPr>
            <w:r>
              <w:t>ms</w:t>
            </w:r>
          </w:p>
        </w:tc>
        <w:tc>
          <w:tcPr>
            <w:tcW w:w="3704" w:type="dxa"/>
            <w:shd w:val="clear" w:color="auto" w:fill="auto"/>
          </w:tcPr>
          <w:p>
            <w:pPr>
              <w:pStyle w:val="49"/>
            </w:pPr>
            <w:r>
              <w:rPr>
                <w:rFonts w:hint="eastAsia"/>
              </w:rPr>
              <w:t>同步精度＜1ms</w:t>
            </w:r>
          </w:p>
        </w:tc>
        <w:tc>
          <w:tcPr>
            <w:tcW w:w="1437" w:type="dxa"/>
            <w:shd w:val="clear" w:color="auto" w:fill="auto"/>
          </w:tcPr>
          <w:p>
            <w:pPr>
              <w:pStyle w:val="49"/>
            </w:pPr>
            <w:r>
              <w:rPr>
                <w:rFonts w:hint="eastAsia"/>
              </w:rPr>
              <w:t>核查、统计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57" w:type="dxa"/>
            <w:shd w:val="clear" w:color="auto" w:fill="auto"/>
            <w:vAlign w:val="center"/>
          </w:tcPr>
          <w:p>
            <w:pPr>
              <w:pStyle w:val="49"/>
            </w:pPr>
            <w:r>
              <w:rPr>
                <w:rFonts w:hint="eastAsia"/>
              </w:rPr>
              <w:t>静态数据同步</w:t>
            </w:r>
          </w:p>
        </w:tc>
        <w:tc>
          <w:tcPr>
            <w:tcW w:w="698" w:type="dxa"/>
            <w:shd w:val="clear" w:color="auto" w:fill="auto"/>
          </w:tcPr>
          <w:p>
            <w:pPr>
              <w:pStyle w:val="49"/>
            </w:pPr>
          </w:p>
        </w:tc>
        <w:tc>
          <w:tcPr>
            <w:tcW w:w="700" w:type="dxa"/>
            <w:shd w:val="clear" w:color="auto" w:fill="auto"/>
          </w:tcPr>
          <w:p>
            <w:pPr>
              <w:pStyle w:val="49"/>
            </w:pPr>
            <w:r>
              <w:t>s</w:t>
            </w:r>
          </w:p>
        </w:tc>
        <w:tc>
          <w:tcPr>
            <w:tcW w:w="3704" w:type="dxa"/>
            <w:shd w:val="clear" w:color="auto" w:fill="auto"/>
          </w:tcPr>
          <w:p>
            <w:pPr>
              <w:pStyle w:val="49"/>
            </w:pPr>
            <w:r>
              <w:rPr>
                <w:rFonts w:hint="eastAsia"/>
              </w:rPr>
              <w:t>同步精度＜5s</w:t>
            </w:r>
          </w:p>
        </w:tc>
        <w:tc>
          <w:tcPr>
            <w:tcW w:w="1437" w:type="dxa"/>
            <w:shd w:val="clear" w:color="auto" w:fill="auto"/>
          </w:tcPr>
          <w:p>
            <w:pPr>
              <w:pStyle w:val="49"/>
            </w:pPr>
            <w:r>
              <w:rPr>
                <w:rFonts w:hint="eastAsia"/>
              </w:rPr>
              <w:t>核查、统计</w:t>
            </w:r>
          </w:p>
        </w:tc>
      </w:tr>
    </w:tbl>
    <w:p>
      <w:pPr>
        <w:pStyle w:val="38"/>
        <w:jc w:val="both"/>
      </w:pPr>
    </w:p>
    <w:tbl>
      <w:tblPr>
        <w:tblStyle w:val="23"/>
        <w:tblW w:w="82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57"/>
        <w:gridCol w:w="699"/>
        <w:gridCol w:w="699"/>
        <w:gridCol w:w="3703"/>
        <w:gridCol w:w="14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8" w:hRule="atLeast"/>
          <w:jc w:val="center"/>
        </w:trPr>
        <w:tc>
          <w:tcPr>
            <w:tcW w:w="8296" w:type="dxa"/>
            <w:gridSpan w:val="5"/>
            <w:tcBorders>
              <w:top w:val="nil"/>
              <w:left w:val="nil"/>
              <w:bottom w:val="single" w:color="auto" w:sz="4" w:space="0"/>
              <w:right w:val="nil"/>
            </w:tcBorders>
            <w:shd w:val="clear" w:color="auto" w:fill="auto"/>
          </w:tcPr>
          <w:p>
            <w:pPr>
              <w:pStyle w:val="38"/>
            </w:pPr>
            <w:r>
              <w:t>表A.</w:t>
            </w:r>
            <w:r>
              <w:fldChar w:fldCharType="begin"/>
            </w:r>
            <w:r>
              <w:instrText xml:space="preserve"> SEQ 附录表B \* ARABIC </w:instrText>
            </w:r>
            <w:r>
              <w:fldChar w:fldCharType="separate"/>
            </w:r>
            <w:r>
              <w:t>3</w:t>
            </w:r>
            <w:r>
              <w:fldChar w:fldCharType="end"/>
            </w:r>
            <w:r>
              <w:rPr>
                <w:rFonts w:hint="eastAsia"/>
              </w:rPr>
              <w:t xml:space="preserve"> </w:t>
            </w:r>
            <w:r>
              <w:rPr>
                <w:rFonts w:hAnsi="黑体" w:cs="黑体"/>
                <w:bCs/>
                <w:szCs w:val="32"/>
              </w:rPr>
              <w:t xml:space="preserve"> </w:t>
            </w:r>
            <w:r>
              <w:rPr>
                <w:rFonts w:hint="eastAsia"/>
              </w:rPr>
              <w:t>单项调试报告3 -数据调试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8" w:hRule="atLeast"/>
          <w:jc w:val="center"/>
        </w:trPr>
        <w:tc>
          <w:tcPr>
            <w:tcW w:w="1757" w:type="dxa"/>
            <w:tcBorders>
              <w:top w:val="single" w:color="auto" w:sz="4" w:space="0"/>
            </w:tcBorders>
            <w:shd w:val="clear" w:color="auto" w:fill="auto"/>
          </w:tcPr>
          <w:p>
            <w:pPr>
              <w:pStyle w:val="49"/>
            </w:pPr>
            <w:r>
              <w:rPr>
                <w:rFonts w:hint="eastAsia"/>
              </w:rPr>
              <w:t>检验项目</w:t>
            </w:r>
          </w:p>
        </w:tc>
        <w:tc>
          <w:tcPr>
            <w:tcW w:w="699" w:type="dxa"/>
            <w:tcBorders>
              <w:top w:val="single" w:color="auto" w:sz="4" w:space="0"/>
            </w:tcBorders>
            <w:shd w:val="clear" w:color="auto" w:fill="auto"/>
          </w:tcPr>
          <w:p>
            <w:pPr>
              <w:pStyle w:val="49"/>
            </w:pPr>
            <w:r>
              <w:rPr>
                <w:rFonts w:hint="eastAsia"/>
              </w:rPr>
              <w:t>性质</w:t>
            </w:r>
          </w:p>
        </w:tc>
        <w:tc>
          <w:tcPr>
            <w:tcW w:w="699" w:type="dxa"/>
            <w:tcBorders>
              <w:top w:val="single" w:color="auto" w:sz="4" w:space="0"/>
            </w:tcBorders>
            <w:shd w:val="clear" w:color="auto" w:fill="auto"/>
          </w:tcPr>
          <w:p>
            <w:pPr>
              <w:pStyle w:val="49"/>
            </w:pPr>
            <w:r>
              <w:rPr>
                <w:rFonts w:hint="eastAsia"/>
              </w:rPr>
              <w:t>单位</w:t>
            </w:r>
          </w:p>
        </w:tc>
        <w:tc>
          <w:tcPr>
            <w:tcW w:w="3703" w:type="dxa"/>
            <w:tcBorders>
              <w:top w:val="single" w:color="auto" w:sz="4" w:space="0"/>
            </w:tcBorders>
            <w:shd w:val="clear" w:color="auto" w:fill="auto"/>
          </w:tcPr>
          <w:p>
            <w:pPr>
              <w:pStyle w:val="49"/>
            </w:pPr>
            <w:r>
              <w:rPr>
                <w:rFonts w:hint="eastAsia"/>
              </w:rPr>
              <w:t>质量标准</w:t>
            </w:r>
          </w:p>
        </w:tc>
        <w:tc>
          <w:tcPr>
            <w:tcW w:w="1438" w:type="dxa"/>
            <w:tcBorders>
              <w:top w:val="single" w:color="auto" w:sz="4" w:space="0"/>
            </w:tcBorders>
            <w:shd w:val="clear" w:color="auto" w:fill="auto"/>
          </w:tcPr>
          <w:p>
            <w:pPr>
              <w:pStyle w:val="49"/>
            </w:pPr>
            <w:r>
              <w:rPr>
                <w:rFonts w:hint="eastAsia"/>
              </w:rPr>
              <w:t>检查方法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57" w:type="dxa"/>
            <w:shd w:val="clear" w:color="auto" w:fill="auto"/>
          </w:tcPr>
          <w:p>
            <w:pPr>
              <w:pStyle w:val="49"/>
            </w:pPr>
            <w:r>
              <w:rPr>
                <w:rFonts w:hint="eastAsia"/>
              </w:rPr>
              <w:t>传感器与数据库对应情况</w:t>
            </w:r>
          </w:p>
        </w:tc>
        <w:tc>
          <w:tcPr>
            <w:tcW w:w="699" w:type="dxa"/>
            <w:shd w:val="clear" w:color="auto" w:fill="auto"/>
            <w:vAlign w:val="center"/>
          </w:tcPr>
          <w:p>
            <w:pPr>
              <w:pStyle w:val="49"/>
            </w:pPr>
            <w:r>
              <w:rPr>
                <w:rFonts w:hint="eastAsia"/>
              </w:rPr>
              <w:t>主控</w:t>
            </w:r>
          </w:p>
        </w:tc>
        <w:tc>
          <w:tcPr>
            <w:tcW w:w="699" w:type="dxa"/>
            <w:shd w:val="clear" w:color="auto" w:fill="auto"/>
            <w:vAlign w:val="center"/>
          </w:tcPr>
          <w:p>
            <w:pPr>
              <w:pStyle w:val="49"/>
            </w:pPr>
          </w:p>
        </w:tc>
        <w:tc>
          <w:tcPr>
            <w:tcW w:w="3703" w:type="dxa"/>
            <w:shd w:val="clear" w:color="auto" w:fill="auto"/>
            <w:vAlign w:val="center"/>
          </w:tcPr>
          <w:p>
            <w:pPr>
              <w:pStyle w:val="49"/>
            </w:pPr>
            <w:r>
              <w:rPr>
                <w:rFonts w:hint="eastAsia"/>
              </w:rPr>
              <w:t>与数据库编号完全对应</w:t>
            </w:r>
          </w:p>
        </w:tc>
        <w:tc>
          <w:tcPr>
            <w:tcW w:w="1438" w:type="dxa"/>
            <w:shd w:val="clear" w:color="auto" w:fill="auto"/>
            <w:vAlign w:val="center"/>
          </w:tcPr>
          <w:p>
            <w:pPr>
              <w:pStyle w:val="49"/>
            </w:pPr>
            <w:r>
              <w:rPr>
                <w:rFonts w:hint="eastAsia"/>
              </w:rPr>
              <w:t>核查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57" w:type="dxa"/>
            <w:shd w:val="clear" w:color="auto" w:fill="auto"/>
            <w:vAlign w:val="center"/>
          </w:tcPr>
          <w:p>
            <w:pPr>
              <w:pStyle w:val="49"/>
            </w:pPr>
            <w:r>
              <w:rPr>
                <w:rFonts w:hint="eastAsia"/>
              </w:rPr>
              <w:t>传感器数据可靠性</w:t>
            </w:r>
          </w:p>
        </w:tc>
        <w:tc>
          <w:tcPr>
            <w:tcW w:w="699" w:type="dxa"/>
            <w:shd w:val="clear" w:color="auto" w:fill="auto"/>
            <w:vAlign w:val="center"/>
          </w:tcPr>
          <w:p>
            <w:pPr>
              <w:pStyle w:val="49"/>
            </w:pPr>
            <w:r>
              <w:rPr>
                <w:rFonts w:hint="eastAsia"/>
              </w:rPr>
              <w:t>主控</w:t>
            </w:r>
          </w:p>
        </w:tc>
        <w:tc>
          <w:tcPr>
            <w:tcW w:w="699" w:type="dxa"/>
            <w:shd w:val="clear" w:color="auto" w:fill="auto"/>
            <w:vAlign w:val="center"/>
          </w:tcPr>
          <w:p>
            <w:pPr>
              <w:pStyle w:val="49"/>
            </w:pPr>
          </w:p>
        </w:tc>
        <w:tc>
          <w:tcPr>
            <w:tcW w:w="3703" w:type="dxa"/>
            <w:shd w:val="clear" w:color="auto" w:fill="auto"/>
            <w:vAlign w:val="center"/>
          </w:tcPr>
          <w:p>
            <w:pPr>
              <w:pStyle w:val="49"/>
            </w:pPr>
            <w:r>
              <w:rPr>
                <w:rFonts w:hint="eastAsia"/>
              </w:rPr>
              <w:t>与实测物理位置对应</w:t>
            </w:r>
          </w:p>
        </w:tc>
        <w:tc>
          <w:tcPr>
            <w:tcW w:w="1438" w:type="dxa"/>
            <w:shd w:val="clear" w:color="auto" w:fill="auto"/>
            <w:vAlign w:val="center"/>
          </w:tcPr>
          <w:p>
            <w:pPr>
              <w:pStyle w:val="49"/>
            </w:pPr>
            <w:r>
              <w:rPr>
                <w:rFonts w:hint="eastAsia"/>
              </w:rPr>
              <w:t>检测、核查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57" w:type="dxa"/>
            <w:shd w:val="clear" w:color="auto" w:fill="auto"/>
            <w:vAlign w:val="center"/>
          </w:tcPr>
          <w:p>
            <w:pPr>
              <w:pStyle w:val="49"/>
            </w:pPr>
            <w:r>
              <w:rPr>
                <w:rFonts w:hint="eastAsia"/>
              </w:rPr>
              <w:t>数据存储精度</w:t>
            </w:r>
          </w:p>
        </w:tc>
        <w:tc>
          <w:tcPr>
            <w:tcW w:w="699" w:type="dxa"/>
            <w:shd w:val="clear" w:color="auto" w:fill="auto"/>
          </w:tcPr>
          <w:p>
            <w:pPr>
              <w:pStyle w:val="49"/>
            </w:pPr>
          </w:p>
        </w:tc>
        <w:tc>
          <w:tcPr>
            <w:tcW w:w="699" w:type="dxa"/>
            <w:shd w:val="clear" w:color="auto" w:fill="auto"/>
          </w:tcPr>
          <w:p>
            <w:pPr>
              <w:pStyle w:val="49"/>
            </w:pPr>
          </w:p>
        </w:tc>
        <w:tc>
          <w:tcPr>
            <w:tcW w:w="3703" w:type="dxa"/>
            <w:shd w:val="clear" w:color="auto" w:fill="auto"/>
          </w:tcPr>
          <w:p>
            <w:pPr>
              <w:pStyle w:val="49"/>
            </w:pPr>
            <w:r>
              <w:rPr>
                <w:rFonts w:hint="eastAsia"/>
              </w:rPr>
              <w:t>不低于传感器分辨率</w:t>
            </w:r>
          </w:p>
        </w:tc>
        <w:tc>
          <w:tcPr>
            <w:tcW w:w="1438" w:type="dxa"/>
            <w:shd w:val="clear" w:color="auto" w:fill="auto"/>
          </w:tcPr>
          <w:p>
            <w:pPr>
              <w:pStyle w:val="49"/>
            </w:pPr>
            <w:r>
              <w:rPr>
                <w:rFonts w:hint="eastAsia"/>
              </w:rPr>
              <w:t>核查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57" w:type="dxa"/>
            <w:shd w:val="clear" w:color="auto" w:fill="auto"/>
            <w:vAlign w:val="center"/>
          </w:tcPr>
          <w:p>
            <w:pPr>
              <w:pStyle w:val="49"/>
            </w:pPr>
            <w:r>
              <w:rPr>
                <w:rFonts w:hint="eastAsia"/>
              </w:rPr>
              <w:t>数据真实性</w:t>
            </w:r>
          </w:p>
        </w:tc>
        <w:tc>
          <w:tcPr>
            <w:tcW w:w="699" w:type="dxa"/>
            <w:shd w:val="clear" w:color="auto" w:fill="auto"/>
          </w:tcPr>
          <w:p>
            <w:pPr>
              <w:pStyle w:val="49"/>
            </w:pPr>
            <w:r>
              <w:rPr>
                <w:rFonts w:hint="eastAsia"/>
              </w:rPr>
              <w:t>主控</w:t>
            </w:r>
          </w:p>
        </w:tc>
        <w:tc>
          <w:tcPr>
            <w:tcW w:w="699" w:type="dxa"/>
            <w:shd w:val="clear" w:color="auto" w:fill="auto"/>
          </w:tcPr>
          <w:p>
            <w:pPr>
              <w:pStyle w:val="49"/>
            </w:pPr>
          </w:p>
        </w:tc>
        <w:tc>
          <w:tcPr>
            <w:tcW w:w="3703" w:type="dxa"/>
            <w:shd w:val="clear" w:color="auto" w:fill="auto"/>
          </w:tcPr>
          <w:p>
            <w:pPr>
              <w:pStyle w:val="49"/>
            </w:pPr>
            <w:r>
              <w:rPr>
                <w:rFonts w:hint="eastAsia"/>
              </w:rPr>
              <w:t>不超过传感器测量范围</w:t>
            </w:r>
          </w:p>
        </w:tc>
        <w:tc>
          <w:tcPr>
            <w:tcW w:w="1438" w:type="dxa"/>
            <w:shd w:val="clear" w:color="auto" w:fill="auto"/>
          </w:tcPr>
          <w:p>
            <w:pPr>
              <w:pStyle w:val="49"/>
            </w:pPr>
            <w:r>
              <w:rPr>
                <w:rFonts w:hint="eastAsia"/>
              </w:rPr>
              <w:t>检测、核查</w:t>
            </w:r>
          </w:p>
        </w:tc>
      </w:tr>
    </w:tbl>
    <w:p>
      <w:pPr>
        <w:ind w:firstLine="0" w:firstLineChars="0"/>
      </w:pPr>
      <w:r>
        <w:br w:type="page"/>
      </w:r>
    </w:p>
    <w:tbl>
      <w:tblPr>
        <w:tblStyle w:val="23"/>
        <w:tblW w:w="8217" w:type="dxa"/>
        <w:jc w:val="center"/>
        <w:tblLayout w:type="fixed"/>
        <w:tblCellMar>
          <w:top w:w="0" w:type="dxa"/>
          <w:left w:w="108" w:type="dxa"/>
          <w:bottom w:w="0" w:type="dxa"/>
          <w:right w:w="108" w:type="dxa"/>
        </w:tblCellMar>
      </w:tblPr>
      <w:tblGrid>
        <w:gridCol w:w="1374"/>
        <w:gridCol w:w="6843"/>
      </w:tblGrid>
      <w:tr>
        <w:tblPrEx>
          <w:tblCellMar>
            <w:top w:w="0" w:type="dxa"/>
            <w:left w:w="108" w:type="dxa"/>
            <w:bottom w:w="0" w:type="dxa"/>
            <w:right w:w="108" w:type="dxa"/>
          </w:tblCellMar>
        </w:tblPrEx>
        <w:trPr>
          <w:trHeight w:val="280" w:hRule="atLeast"/>
          <w:jc w:val="center"/>
        </w:trPr>
        <w:tc>
          <w:tcPr>
            <w:tcW w:w="8217" w:type="dxa"/>
            <w:gridSpan w:val="2"/>
            <w:tcBorders>
              <w:bottom w:val="single" w:color="auto" w:sz="4" w:space="0"/>
            </w:tcBorders>
            <w:shd w:val="clear" w:color="auto" w:fill="auto"/>
            <w:vAlign w:val="bottom"/>
          </w:tcPr>
          <w:p>
            <w:pPr>
              <w:pStyle w:val="38"/>
            </w:pPr>
            <w:r>
              <w:t>表A.</w:t>
            </w:r>
            <w:r>
              <w:fldChar w:fldCharType="begin"/>
            </w:r>
            <w:r>
              <w:instrText xml:space="preserve"> SEQ 附录表B \* ARABIC </w:instrText>
            </w:r>
            <w:r>
              <w:fldChar w:fldCharType="separate"/>
            </w:r>
            <w:r>
              <w:t>4</w:t>
            </w:r>
            <w:r>
              <w:fldChar w:fldCharType="end"/>
            </w:r>
            <w:r>
              <w:rPr>
                <w:rFonts w:hint="eastAsia"/>
              </w:rPr>
              <w:t>联合调试合格证书</w:t>
            </w:r>
          </w:p>
        </w:tc>
      </w:tr>
      <w:tr>
        <w:tblPrEx>
          <w:tblCellMar>
            <w:top w:w="0" w:type="dxa"/>
            <w:left w:w="108" w:type="dxa"/>
            <w:bottom w:w="0" w:type="dxa"/>
            <w:right w:w="108" w:type="dxa"/>
          </w:tblCellMar>
        </w:tblPrEx>
        <w:trPr>
          <w:trHeight w:val="280" w:hRule="atLeast"/>
          <w:jc w:val="center"/>
        </w:trPr>
        <w:tc>
          <w:tcPr>
            <w:tcW w:w="1374" w:type="dxa"/>
            <w:tcBorders>
              <w:top w:val="single" w:color="auto" w:sz="4" w:space="0"/>
              <w:left w:val="single" w:color="auto" w:sz="4" w:space="0"/>
              <w:bottom w:val="single" w:color="auto" w:sz="4" w:space="0"/>
              <w:right w:val="single" w:color="auto" w:sz="4" w:space="0"/>
            </w:tcBorders>
            <w:shd w:val="clear" w:color="auto" w:fill="auto"/>
            <w:vAlign w:val="bottom"/>
          </w:tcPr>
          <w:p>
            <w:pPr>
              <w:pStyle w:val="49"/>
            </w:pPr>
            <w:r>
              <w:rPr>
                <w:rFonts w:hint="eastAsia"/>
              </w:rPr>
              <w:t>项目名称</w:t>
            </w:r>
          </w:p>
        </w:tc>
        <w:tc>
          <w:tcPr>
            <w:tcW w:w="6843" w:type="dxa"/>
            <w:tcBorders>
              <w:top w:val="single" w:color="auto" w:sz="4" w:space="0"/>
              <w:left w:val="nil"/>
              <w:bottom w:val="single" w:color="auto" w:sz="4" w:space="0"/>
              <w:right w:val="single" w:color="auto" w:sz="4" w:space="0"/>
            </w:tcBorders>
            <w:shd w:val="clear" w:color="auto" w:fill="auto"/>
            <w:vAlign w:val="bottom"/>
          </w:tcPr>
          <w:p>
            <w:pPr>
              <w:pStyle w:val="49"/>
            </w:pPr>
          </w:p>
        </w:tc>
      </w:tr>
      <w:tr>
        <w:tblPrEx>
          <w:tblCellMar>
            <w:top w:w="0" w:type="dxa"/>
            <w:left w:w="108" w:type="dxa"/>
            <w:bottom w:w="0" w:type="dxa"/>
            <w:right w:w="108" w:type="dxa"/>
          </w:tblCellMar>
        </w:tblPrEx>
        <w:trPr>
          <w:trHeight w:val="280" w:hRule="atLeast"/>
          <w:jc w:val="center"/>
        </w:trPr>
        <w:tc>
          <w:tcPr>
            <w:tcW w:w="1374" w:type="dxa"/>
            <w:tcBorders>
              <w:top w:val="nil"/>
              <w:left w:val="single" w:color="auto" w:sz="4" w:space="0"/>
              <w:bottom w:val="single" w:color="auto" w:sz="4" w:space="0"/>
              <w:right w:val="single" w:color="auto" w:sz="4" w:space="0"/>
            </w:tcBorders>
            <w:shd w:val="clear" w:color="auto" w:fill="auto"/>
            <w:vAlign w:val="bottom"/>
          </w:tcPr>
          <w:p>
            <w:pPr>
              <w:pStyle w:val="49"/>
            </w:pPr>
            <w:r>
              <w:rPr>
                <w:rFonts w:hint="eastAsia"/>
              </w:rPr>
              <w:t>建设单位</w:t>
            </w:r>
          </w:p>
        </w:tc>
        <w:tc>
          <w:tcPr>
            <w:tcW w:w="6843" w:type="dxa"/>
            <w:tcBorders>
              <w:top w:val="single" w:color="auto" w:sz="4" w:space="0"/>
              <w:left w:val="nil"/>
              <w:bottom w:val="single" w:color="auto" w:sz="4" w:space="0"/>
              <w:right w:val="single" w:color="auto" w:sz="4" w:space="0"/>
            </w:tcBorders>
            <w:shd w:val="clear" w:color="auto" w:fill="auto"/>
            <w:vAlign w:val="bottom"/>
          </w:tcPr>
          <w:p>
            <w:pPr>
              <w:pStyle w:val="49"/>
            </w:pPr>
          </w:p>
        </w:tc>
      </w:tr>
      <w:tr>
        <w:tblPrEx>
          <w:tblCellMar>
            <w:top w:w="0" w:type="dxa"/>
            <w:left w:w="108" w:type="dxa"/>
            <w:bottom w:w="0" w:type="dxa"/>
            <w:right w:w="108" w:type="dxa"/>
          </w:tblCellMar>
        </w:tblPrEx>
        <w:trPr>
          <w:trHeight w:val="280" w:hRule="atLeast"/>
          <w:jc w:val="center"/>
        </w:trPr>
        <w:tc>
          <w:tcPr>
            <w:tcW w:w="1374" w:type="dxa"/>
            <w:tcBorders>
              <w:top w:val="nil"/>
              <w:left w:val="single" w:color="auto" w:sz="4" w:space="0"/>
              <w:bottom w:val="single" w:color="auto" w:sz="4" w:space="0"/>
              <w:right w:val="single" w:color="auto" w:sz="4" w:space="0"/>
            </w:tcBorders>
            <w:shd w:val="clear" w:color="auto" w:fill="auto"/>
            <w:vAlign w:val="bottom"/>
          </w:tcPr>
          <w:p>
            <w:pPr>
              <w:pStyle w:val="49"/>
            </w:pPr>
            <w:r>
              <w:rPr>
                <w:rFonts w:hint="eastAsia"/>
              </w:rPr>
              <w:t>调试时间</w:t>
            </w:r>
          </w:p>
        </w:tc>
        <w:tc>
          <w:tcPr>
            <w:tcW w:w="6843" w:type="dxa"/>
            <w:tcBorders>
              <w:top w:val="single" w:color="auto" w:sz="4" w:space="0"/>
              <w:left w:val="nil"/>
              <w:bottom w:val="single" w:color="auto" w:sz="4" w:space="0"/>
              <w:right w:val="single" w:color="auto" w:sz="4" w:space="0"/>
            </w:tcBorders>
            <w:shd w:val="clear" w:color="auto" w:fill="auto"/>
            <w:vAlign w:val="bottom"/>
          </w:tcPr>
          <w:p>
            <w:pPr>
              <w:pStyle w:val="49"/>
            </w:pPr>
            <w:r>
              <w:rPr>
                <w:rFonts w:hint="eastAsia"/>
              </w:rPr>
              <w:t>自</w:t>
            </w:r>
            <w:r>
              <w:t xml:space="preserve">   </w:t>
            </w:r>
            <w:r>
              <w:rPr>
                <w:rFonts w:hint="eastAsia"/>
              </w:rPr>
              <w:t>年</w:t>
            </w:r>
            <w:r>
              <w:t xml:space="preserve">   </w:t>
            </w:r>
            <w:r>
              <w:rPr>
                <w:rFonts w:hint="eastAsia"/>
              </w:rPr>
              <w:t>月</w:t>
            </w:r>
            <w:r>
              <w:t xml:space="preserve">   </w:t>
            </w:r>
            <w:r>
              <w:rPr>
                <w:rFonts w:hint="eastAsia"/>
              </w:rPr>
              <w:t>日</w:t>
            </w:r>
            <w:r>
              <w:t xml:space="preserve">   </w:t>
            </w:r>
            <w:r>
              <w:rPr>
                <w:rFonts w:hint="eastAsia"/>
              </w:rPr>
              <w:t>起   至</w:t>
            </w:r>
            <w:r>
              <w:t xml:space="preserve">      </w:t>
            </w:r>
            <w:r>
              <w:rPr>
                <w:rFonts w:hint="eastAsia"/>
              </w:rPr>
              <w:t>年</w:t>
            </w:r>
            <w:r>
              <w:t xml:space="preserve">   </w:t>
            </w:r>
            <w:r>
              <w:rPr>
                <w:rFonts w:hint="eastAsia"/>
              </w:rPr>
              <w:t>月</w:t>
            </w:r>
            <w:r>
              <w:t xml:space="preserve">   </w:t>
            </w:r>
            <w:r>
              <w:rPr>
                <w:rFonts w:hint="eastAsia"/>
              </w:rPr>
              <w:t>日止</w:t>
            </w:r>
          </w:p>
        </w:tc>
      </w:tr>
      <w:tr>
        <w:tblPrEx>
          <w:tblCellMar>
            <w:top w:w="0" w:type="dxa"/>
            <w:left w:w="108" w:type="dxa"/>
            <w:bottom w:w="0" w:type="dxa"/>
            <w:right w:w="108" w:type="dxa"/>
          </w:tblCellMar>
        </w:tblPrEx>
        <w:trPr>
          <w:trHeight w:val="280" w:hRule="atLeast"/>
          <w:jc w:val="center"/>
        </w:trPr>
        <w:tc>
          <w:tcPr>
            <w:tcW w:w="1374" w:type="dxa"/>
            <w:tcBorders>
              <w:top w:val="nil"/>
              <w:left w:val="single" w:color="auto" w:sz="4" w:space="0"/>
              <w:bottom w:val="single" w:color="auto" w:sz="4" w:space="0"/>
              <w:right w:val="single" w:color="auto" w:sz="4" w:space="0"/>
            </w:tcBorders>
            <w:shd w:val="clear" w:color="auto" w:fill="auto"/>
            <w:vAlign w:val="bottom"/>
          </w:tcPr>
          <w:p>
            <w:pPr>
              <w:pStyle w:val="49"/>
            </w:pPr>
            <w:r>
              <w:rPr>
                <w:rFonts w:hint="eastAsia"/>
              </w:rPr>
              <w:t>调试情况</w:t>
            </w:r>
          </w:p>
        </w:tc>
        <w:tc>
          <w:tcPr>
            <w:tcW w:w="6843" w:type="dxa"/>
            <w:tcBorders>
              <w:top w:val="single" w:color="auto" w:sz="4" w:space="0"/>
              <w:left w:val="nil"/>
              <w:bottom w:val="single" w:color="auto" w:sz="4" w:space="0"/>
              <w:right w:val="single" w:color="auto" w:sz="4" w:space="0"/>
            </w:tcBorders>
            <w:shd w:val="clear" w:color="auto" w:fill="auto"/>
            <w:vAlign w:val="bottom"/>
          </w:tcPr>
          <w:p>
            <w:pPr>
              <w:pStyle w:val="49"/>
            </w:pPr>
          </w:p>
        </w:tc>
      </w:tr>
      <w:tr>
        <w:tblPrEx>
          <w:tblCellMar>
            <w:top w:w="0" w:type="dxa"/>
            <w:left w:w="108" w:type="dxa"/>
            <w:bottom w:w="0" w:type="dxa"/>
            <w:right w:w="108" w:type="dxa"/>
          </w:tblCellMar>
        </w:tblPrEx>
        <w:trPr>
          <w:trHeight w:val="3425" w:hRule="atLeast"/>
          <w:jc w:val="center"/>
        </w:trPr>
        <w:tc>
          <w:tcPr>
            <w:tcW w:w="8217" w:type="dxa"/>
            <w:gridSpan w:val="2"/>
            <w:tcBorders>
              <w:top w:val="nil"/>
              <w:left w:val="single" w:color="auto" w:sz="4" w:space="0"/>
              <w:bottom w:val="single" w:color="auto" w:sz="4" w:space="0"/>
              <w:right w:val="single" w:color="auto" w:sz="4" w:space="0"/>
            </w:tcBorders>
            <w:shd w:val="clear" w:color="auto" w:fill="auto"/>
            <w:vAlign w:val="bottom"/>
          </w:tcPr>
          <w:p>
            <w:pPr>
              <w:pStyle w:val="49"/>
              <w:rPr>
                <w:b/>
              </w:rPr>
            </w:pPr>
            <w:r>
              <w:rPr>
                <w:rFonts w:hint="eastAsia"/>
                <w:b/>
              </w:rPr>
              <w:t>调试鉴定</w:t>
            </w:r>
          </w:p>
          <w:p>
            <w:pPr>
              <w:pStyle w:val="49"/>
            </w:pPr>
            <w:r>
              <w:rPr>
                <w:rFonts w:hint="eastAsia"/>
              </w:rPr>
              <w:t>现场调试鉴定</w:t>
            </w:r>
          </w:p>
          <w:p>
            <w:pPr>
              <w:pStyle w:val="49"/>
            </w:pPr>
            <w:r>
              <w:rPr>
                <w:rFonts w:hint="eastAsia"/>
              </w:rPr>
              <w:t>□</w:t>
            </w:r>
            <w:r>
              <w:t xml:space="preserve"> </w:t>
            </w:r>
            <w:r>
              <w:rPr>
                <w:rFonts w:hint="eastAsia"/>
              </w:rPr>
              <w:t>合格</w:t>
            </w:r>
            <w:r>
              <w:t xml:space="preserve">    </w:t>
            </w:r>
            <w:r>
              <w:rPr>
                <w:rFonts w:hint="eastAsia"/>
              </w:rPr>
              <w:t>□</w:t>
            </w:r>
            <w:r>
              <w:t xml:space="preserve"> </w:t>
            </w:r>
            <w:r>
              <w:rPr>
                <w:rFonts w:hint="eastAsia"/>
              </w:rPr>
              <w:t>不合格</w:t>
            </w:r>
          </w:p>
          <w:p>
            <w:pPr>
              <w:pStyle w:val="49"/>
            </w:pPr>
            <w:r>
              <w:rPr>
                <w:rFonts w:hint="eastAsia"/>
              </w:rPr>
              <w:t>安装资料鉴定</w:t>
            </w:r>
          </w:p>
          <w:p>
            <w:pPr>
              <w:pStyle w:val="49"/>
            </w:pPr>
            <w:r>
              <w:rPr>
                <w:rFonts w:hint="eastAsia"/>
              </w:rPr>
              <w:t>合格</w:t>
            </w:r>
            <w:r>
              <w:t xml:space="preserve">    </w:t>
            </w:r>
            <w:r>
              <w:rPr>
                <w:rFonts w:hint="eastAsia"/>
              </w:rPr>
              <w:t>□</w:t>
            </w:r>
            <w:r>
              <w:t xml:space="preserve"> </w:t>
            </w:r>
            <w:r>
              <w:rPr>
                <w:rFonts w:hint="eastAsia"/>
              </w:rPr>
              <w:t>不合格</w:t>
            </w:r>
          </w:p>
          <w:p>
            <w:pPr>
              <w:pStyle w:val="49"/>
            </w:pPr>
            <w:r>
              <w:rPr>
                <w:rFonts w:hint="eastAsia"/>
              </w:rPr>
              <w:t>　调试资料鉴定</w:t>
            </w:r>
          </w:p>
          <w:p>
            <w:pPr>
              <w:pStyle w:val="49"/>
            </w:pPr>
            <w:r>
              <w:rPr>
                <w:rFonts w:hint="eastAsia"/>
              </w:rPr>
              <w:t>合格</w:t>
            </w:r>
            <w:r>
              <w:t xml:space="preserve">    </w:t>
            </w:r>
            <w:r>
              <w:rPr>
                <w:rFonts w:hint="eastAsia"/>
              </w:rPr>
              <w:t>□</w:t>
            </w:r>
            <w:r>
              <w:t xml:space="preserve"> </w:t>
            </w:r>
            <w:r>
              <w:rPr>
                <w:rFonts w:hint="eastAsia"/>
              </w:rPr>
              <w:t>不合格</w:t>
            </w:r>
          </w:p>
          <w:p>
            <w:pPr>
              <w:pStyle w:val="49"/>
            </w:pPr>
            <w:r>
              <w:rPr>
                <w:rFonts w:hint="eastAsia"/>
              </w:rPr>
              <w:t>　工程图纸鉴定</w:t>
            </w:r>
          </w:p>
          <w:p>
            <w:pPr>
              <w:pStyle w:val="49"/>
            </w:pPr>
            <w:r>
              <w:rPr>
                <w:rFonts w:hint="eastAsia"/>
              </w:rPr>
              <w:t>合格</w:t>
            </w:r>
            <w:r>
              <w:t xml:space="preserve">    </w:t>
            </w:r>
            <w:r>
              <w:rPr>
                <w:rFonts w:hint="eastAsia"/>
              </w:rPr>
              <w:t>□</w:t>
            </w:r>
            <w:r>
              <w:t xml:space="preserve"> </w:t>
            </w:r>
            <w:r>
              <w:rPr>
                <w:rFonts w:hint="eastAsia"/>
              </w:rPr>
              <w:t>不合格</w:t>
            </w:r>
          </w:p>
        </w:tc>
      </w:tr>
      <w:tr>
        <w:tblPrEx>
          <w:tblCellMar>
            <w:top w:w="0" w:type="dxa"/>
            <w:left w:w="108" w:type="dxa"/>
            <w:bottom w:w="0" w:type="dxa"/>
            <w:right w:w="108" w:type="dxa"/>
          </w:tblCellMar>
        </w:tblPrEx>
        <w:trPr>
          <w:trHeight w:val="2516" w:hRule="atLeast"/>
          <w:jc w:val="center"/>
        </w:trPr>
        <w:tc>
          <w:tcPr>
            <w:tcW w:w="8217" w:type="dxa"/>
            <w:gridSpan w:val="2"/>
            <w:tcBorders>
              <w:top w:val="single" w:color="auto" w:sz="4" w:space="0"/>
              <w:left w:val="single" w:color="auto" w:sz="4" w:space="0"/>
              <w:bottom w:val="single" w:color="auto" w:sz="4" w:space="0"/>
              <w:right w:val="single" w:color="auto" w:sz="4" w:space="0"/>
            </w:tcBorders>
            <w:shd w:val="clear" w:color="auto" w:fill="auto"/>
            <w:vAlign w:val="bottom"/>
          </w:tcPr>
          <w:p>
            <w:pPr>
              <w:pStyle w:val="49"/>
            </w:pPr>
            <w:r>
              <w:rPr>
                <w:rFonts w:hint="eastAsia"/>
              </w:rPr>
              <w:t>监理单位</w:t>
            </w:r>
          </w:p>
          <w:p>
            <w:pPr>
              <w:pStyle w:val="49"/>
            </w:pPr>
            <w:r>
              <w:rPr>
                <w:rFonts w:hint="eastAsia"/>
              </w:rPr>
              <w:t>　</w:t>
            </w:r>
          </w:p>
          <w:p>
            <w:pPr>
              <w:pStyle w:val="49"/>
            </w:pPr>
            <w:r>
              <w:rPr>
                <w:rFonts w:hint="eastAsia"/>
              </w:rPr>
              <w:t>总监理工程师：</w:t>
            </w:r>
          </w:p>
          <w:p>
            <w:pPr>
              <w:pStyle w:val="49"/>
            </w:pPr>
            <w:r>
              <w:rPr>
                <w:rFonts w:hint="eastAsia"/>
              </w:rPr>
              <w:t xml:space="preserve">单位盖章      </w:t>
            </w:r>
          </w:p>
          <w:p>
            <w:pPr>
              <w:pStyle w:val="49"/>
            </w:pPr>
            <w:r>
              <w:rPr>
                <w:rFonts w:hint="eastAsia"/>
              </w:rPr>
              <w:t xml:space="preserve">　                                                                     年  月  日    </w:t>
            </w:r>
          </w:p>
        </w:tc>
      </w:tr>
      <w:tr>
        <w:tblPrEx>
          <w:tblCellMar>
            <w:top w:w="0" w:type="dxa"/>
            <w:left w:w="108" w:type="dxa"/>
            <w:bottom w:w="0" w:type="dxa"/>
            <w:right w:w="108" w:type="dxa"/>
          </w:tblCellMar>
        </w:tblPrEx>
        <w:trPr>
          <w:trHeight w:val="2516" w:hRule="atLeast"/>
          <w:jc w:val="center"/>
        </w:trPr>
        <w:tc>
          <w:tcPr>
            <w:tcW w:w="8217" w:type="dxa"/>
            <w:gridSpan w:val="2"/>
            <w:tcBorders>
              <w:top w:val="single" w:color="auto" w:sz="4" w:space="0"/>
              <w:left w:val="single" w:color="auto" w:sz="4" w:space="0"/>
              <w:bottom w:val="single" w:color="auto" w:sz="4" w:space="0"/>
              <w:right w:val="single" w:color="auto" w:sz="4" w:space="0"/>
            </w:tcBorders>
            <w:shd w:val="clear" w:color="auto" w:fill="auto"/>
            <w:vAlign w:val="bottom"/>
          </w:tcPr>
          <w:p>
            <w:pPr>
              <w:pStyle w:val="49"/>
            </w:pPr>
            <w:r>
              <w:rPr>
                <w:rFonts w:hint="eastAsia"/>
              </w:rPr>
              <w:t>施工单位</w:t>
            </w:r>
          </w:p>
          <w:p>
            <w:pPr>
              <w:pStyle w:val="49"/>
            </w:pPr>
            <w:r>
              <w:rPr>
                <w:rFonts w:hint="eastAsia"/>
              </w:rPr>
              <w:t>　　</w:t>
            </w:r>
          </w:p>
          <w:p>
            <w:pPr>
              <w:pStyle w:val="49"/>
            </w:pPr>
            <w:r>
              <w:rPr>
                <w:rFonts w:hint="eastAsia"/>
              </w:rPr>
              <w:t>项目负责人：</w:t>
            </w:r>
          </w:p>
          <w:p>
            <w:pPr>
              <w:pStyle w:val="49"/>
            </w:pPr>
            <w:r>
              <w:rPr>
                <w:rFonts w:hint="eastAsia"/>
              </w:rPr>
              <w:t xml:space="preserve">　                                                                     单位盖章      </w:t>
            </w:r>
          </w:p>
          <w:p>
            <w:pPr>
              <w:pStyle w:val="49"/>
            </w:pPr>
            <w:r>
              <w:rPr>
                <w:rFonts w:hint="eastAsia"/>
              </w:rPr>
              <w:t xml:space="preserve">　　                                                                  年  月  日     </w:t>
            </w:r>
          </w:p>
        </w:tc>
      </w:tr>
      <w:tr>
        <w:tblPrEx>
          <w:tblCellMar>
            <w:top w:w="0" w:type="dxa"/>
            <w:left w:w="108" w:type="dxa"/>
            <w:bottom w:w="0" w:type="dxa"/>
            <w:right w:w="108" w:type="dxa"/>
          </w:tblCellMar>
        </w:tblPrEx>
        <w:trPr>
          <w:trHeight w:val="2516" w:hRule="atLeast"/>
          <w:jc w:val="center"/>
        </w:trPr>
        <w:tc>
          <w:tcPr>
            <w:tcW w:w="8217" w:type="dxa"/>
            <w:gridSpan w:val="2"/>
            <w:tcBorders>
              <w:top w:val="single" w:color="auto" w:sz="4" w:space="0"/>
              <w:left w:val="single" w:color="auto" w:sz="4" w:space="0"/>
              <w:bottom w:val="single" w:color="auto" w:sz="4" w:space="0"/>
              <w:right w:val="single" w:color="auto" w:sz="4" w:space="0"/>
            </w:tcBorders>
            <w:shd w:val="clear" w:color="auto" w:fill="auto"/>
            <w:vAlign w:val="bottom"/>
          </w:tcPr>
          <w:p>
            <w:pPr>
              <w:pStyle w:val="49"/>
            </w:pPr>
            <w:r>
              <w:rPr>
                <w:rFonts w:hint="eastAsia"/>
              </w:rPr>
              <w:t>建设单位</w:t>
            </w:r>
          </w:p>
          <w:p>
            <w:pPr>
              <w:pStyle w:val="49"/>
            </w:pPr>
            <w:r>
              <w:rPr>
                <w:rFonts w:hint="eastAsia"/>
              </w:rPr>
              <w:t>　　</w:t>
            </w:r>
          </w:p>
          <w:p>
            <w:pPr>
              <w:pStyle w:val="49"/>
            </w:pPr>
            <w:r>
              <w:rPr>
                <w:rFonts w:hint="eastAsia"/>
              </w:rPr>
              <w:t>项目负责人：</w:t>
            </w:r>
          </w:p>
          <w:p>
            <w:pPr>
              <w:pStyle w:val="49"/>
            </w:pPr>
            <w:r>
              <w:rPr>
                <w:rFonts w:hint="eastAsia"/>
              </w:rPr>
              <w:t xml:space="preserve">　                                                                       单位盖章      </w:t>
            </w:r>
          </w:p>
          <w:p>
            <w:pPr>
              <w:pStyle w:val="49"/>
            </w:pPr>
            <w:r>
              <w:rPr>
                <w:rFonts w:hint="eastAsia"/>
              </w:rPr>
              <w:t xml:space="preserve">年  月  日  </w:t>
            </w:r>
          </w:p>
        </w:tc>
      </w:tr>
    </w:tbl>
    <w:p>
      <w:pPr>
        <w:ind w:firstLine="0" w:firstLineChars="0"/>
      </w:pPr>
      <w:r>
        <w:br w:type="page"/>
      </w:r>
    </w:p>
    <w:tbl>
      <w:tblPr>
        <w:tblStyle w:val="23"/>
        <w:tblW w:w="82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8"/>
        <w:gridCol w:w="72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96" w:type="dxa"/>
            <w:gridSpan w:val="2"/>
            <w:tcBorders>
              <w:top w:val="nil"/>
              <w:left w:val="nil"/>
              <w:right w:val="nil"/>
            </w:tcBorders>
            <w:shd w:val="clear" w:color="auto" w:fill="auto"/>
          </w:tcPr>
          <w:p>
            <w:pPr>
              <w:pStyle w:val="38"/>
            </w:pPr>
            <w:r>
              <w:rPr>
                <w:color w:val="FF0000"/>
              </w:rPr>
              <w:t>表A.</w:t>
            </w:r>
            <w:r>
              <w:rPr>
                <w:color w:val="FF0000"/>
              </w:rPr>
              <w:fldChar w:fldCharType="begin"/>
            </w:r>
            <w:r>
              <w:rPr>
                <w:color w:val="FF0000"/>
              </w:rPr>
              <w:instrText xml:space="preserve"> SEQ 附录表B \* ARABIC </w:instrText>
            </w:r>
            <w:r>
              <w:rPr>
                <w:color w:val="FF0000"/>
              </w:rPr>
              <w:fldChar w:fldCharType="separate"/>
            </w:r>
            <w:r>
              <w:rPr>
                <w:color w:val="FF0000"/>
              </w:rPr>
              <w:t>5</w:t>
            </w:r>
            <w:r>
              <w:rPr>
                <w:color w:val="FF0000"/>
              </w:rPr>
              <w:fldChar w:fldCharType="end"/>
            </w:r>
            <w:r>
              <w:rPr>
                <w:rFonts w:hAnsi="黑体" w:cs="黑体"/>
                <w:bCs/>
                <w:color w:val="FF0000"/>
                <w:szCs w:val="32"/>
              </w:rPr>
              <w:t xml:space="preserve"> </w:t>
            </w:r>
            <w:r>
              <w:rPr>
                <w:rFonts w:hint="eastAsia"/>
                <w:color w:val="FF0000"/>
              </w:rPr>
              <w:t>单位工程竣工验收申请表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88" w:type="dxa"/>
            <w:shd w:val="clear" w:color="auto" w:fill="auto"/>
          </w:tcPr>
          <w:p>
            <w:pPr>
              <w:pStyle w:val="49"/>
            </w:pPr>
            <w:r>
              <w:rPr>
                <w:rFonts w:hint="eastAsia"/>
              </w:rPr>
              <w:t>工程名称</w:t>
            </w:r>
          </w:p>
        </w:tc>
        <w:tc>
          <w:tcPr>
            <w:tcW w:w="7208" w:type="dxa"/>
            <w:shd w:val="clear" w:color="auto" w:fill="auto"/>
            <w:vAlign w:val="center"/>
          </w:tcPr>
          <w:p>
            <w:pPr>
              <w:snapToGrid w:val="0"/>
              <w:ind w:firstLine="360"/>
              <w:jc w:val="center"/>
              <w:rPr>
                <w:rFonts w:eastAsia="华文仿宋"/>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96" w:type="dxa"/>
            <w:gridSpan w:val="2"/>
            <w:shd w:val="clear" w:color="auto" w:fill="auto"/>
          </w:tcPr>
          <w:p>
            <w:pPr>
              <w:pStyle w:val="49"/>
            </w:pPr>
            <w:r>
              <w:rPr>
                <w:rFonts w:hint="eastAsia"/>
              </w:rPr>
              <w:t>致：</w:t>
            </w:r>
            <w:r>
              <w:t xml:space="preserve"> XX </w:t>
            </w:r>
            <w:r>
              <w:rPr>
                <w:rFonts w:hint="eastAsia"/>
              </w:rPr>
              <w:t>（监理单位）</w:t>
            </w:r>
          </w:p>
          <w:p>
            <w:pPr>
              <w:pStyle w:val="49"/>
            </w:pPr>
            <w:r>
              <w:rPr>
                <w:rFonts w:hint="eastAsia"/>
                <w:u w:val="single"/>
              </w:rPr>
              <w:t>XX（施工单位）</w:t>
            </w:r>
            <w:r>
              <w:rPr>
                <w:rFonts w:hint="eastAsia"/>
              </w:rPr>
              <w:t>已经完成了</w:t>
            </w:r>
            <w:r>
              <w:rPr>
                <w:rFonts w:hint="eastAsia"/>
                <w:u w:val="single"/>
              </w:rPr>
              <w:t>XX单位工程</w:t>
            </w:r>
            <w:r>
              <w:rPr>
                <w:rFonts w:hint="eastAsia"/>
              </w:rPr>
              <w:t>质量竣工验收工作，现报上该工程报验申请表，请予以审查和验收。</w:t>
            </w:r>
          </w:p>
          <w:p>
            <w:pPr>
              <w:pStyle w:val="49"/>
            </w:pPr>
            <w:r>
              <w:rPr>
                <w:rFonts w:hint="eastAsia"/>
              </w:rPr>
              <w:t>附件：</w:t>
            </w:r>
          </w:p>
          <w:p>
            <w:pPr>
              <w:pStyle w:val="49"/>
            </w:pPr>
            <w:r>
              <w:rPr>
                <w:rFonts w:hint="eastAsia"/>
              </w:rPr>
              <w:t>1、单位工程质量竣工验收记录；</w:t>
            </w:r>
          </w:p>
          <w:p>
            <w:pPr>
              <w:pStyle w:val="49"/>
            </w:pPr>
            <w:r>
              <w:rPr>
                <w:rFonts w:hint="eastAsia"/>
              </w:rPr>
              <w:t>2、单位工程质量控制资料核查记录；</w:t>
            </w:r>
          </w:p>
          <w:p>
            <w:pPr>
              <w:pStyle w:val="49"/>
            </w:pPr>
            <w:r>
              <w:rPr>
                <w:rFonts w:hint="eastAsia"/>
              </w:rPr>
              <w:t>3、单位工程安全和功能检验资料核查及主要功能抽查记录</w:t>
            </w:r>
          </w:p>
          <w:p>
            <w:pPr>
              <w:pStyle w:val="49"/>
            </w:pPr>
            <w:r>
              <w:rPr>
                <w:rFonts w:hint="eastAsia"/>
              </w:rPr>
              <w:t>4、单位工程观感质量检查记录</w:t>
            </w:r>
          </w:p>
          <w:p>
            <w:pPr>
              <w:pStyle w:val="49"/>
            </w:pPr>
            <w:r>
              <w:rPr>
                <w:rFonts w:hint="eastAsia"/>
              </w:rPr>
              <w:t xml:space="preserve">施工单位（公章）        </w:t>
            </w:r>
          </w:p>
          <w:p>
            <w:pPr>
              <w:pStyle w:val="49"/>
            </w:pPr>
            <w:r>
              <w:rPr>
                <w:rFonts w:hint="eastAsia"/>
              </w:rPr>
              <w:t xml:space="preserve">项目经理            </w:t>
            </w:r>
          </w:p>
          <w:p>
            <w:pPr>
              <w:pStyle w:val="49"/>
            </w:pPr>
            <w:r>
              <w:rPr>
                <w:rFonts w:hint="eastAsia"/>
              </w:rPr>
              <w:t xml:space="preserve">年  月   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96" w:type="dxa"/>
            <w:gridSpan w:val="2"/>
            <w:shd w:val="clear" w:color="auto" w:fill="auto"/>
          </w:tcPr>
          <w:p>
            <w:pPr>
              <w:pStyle w:val="49"/>
            </w:pPr>
            <w:r>
              <w:rPr>
                <w:rFonts w:hint="eastAsia"/>
              </w:rPr>
              <w:t>审查意见：</w:t>
            </w:r>
          </w:p>
          <w:p>
            <w:pPr>
              <w:pStyle w:val="49"/>
            </w:pPr>
          </w:p>
          <w:p>
            <w:pPr>
              <w:pStyle w:val="49"/>
            </w:pPr>
            <w:r>
              <w:rPr>
                <w:rFonts w:hint="eastAsia"/>
              </w:rPr>
              <w:t xml:space="preserve">   施工单位（公章）    </w:t>
            </w:r>
          </w:p>
          <w:p>
            <w:pPr>
              <w:pStyle w:val="49"/>
            </w:pPr>
            <w:r>
              <w:rPr>
                <w:rFonts w:hint="eastAsia"/>
              </w:rPr>
              <w:t xml:space="preserve">总监理工程师      </w:t>
            </w:r>
          </w:p>
          <w:p>
            <w:pPr>
              <w:pStyle w:val="49"/>
            </w:pPr>
            <w:r>
              <w:rPr>
                <w:rFonts w:hint="eastAsia"/>
              </w:rPr>
              <w:t xml:space="preserve">年  月   日      </w:t>
            </w:r>
          </w:p>
        </w:tc>
      </w:tr>
    </w:tbl>
    <w:p>
      <w:pPr>
        <w:ind w:firstLine="0" w:firstLineChars="0"/>
      </w:pPr>
      <w:r>
        <w:br w:type="page"/>
      </w:r>
    </w:p>
    <w:tbl>
      <w:tblPr>
        <w:tblStyle w:val="23"/>
        <w:tblW w:w="8645" w:type="dxa"/>
        <w:jc w:val="center"/>
        <w:tblLayout w:type="fixed"/>
        <w:tblCellMar>
          <w:top w:w="0" w:type="dxa"/>
          <w:left w:w="108" w:type="dxa"/>
          <w:bottom w:w="0" w:type="dxa"/>
          <w:right w:w="108" w:type="dxa"/>
        </w:tblCellMar>
      </w:tblPr>
      <w:tblGrid>
        <w:gridCol w:w="704"/>
        <w:gridCol w:w="440"/>
        <w:gridCol w:w="1403"/>
        <w:gridCol w:w="724"/>
        <w:gridCol w:w="977"/>
        <w:gridCol w:w="582"/>
        <w:gridCol w:w="1485"/>
        <w:gridCol w:w="1533"/>
        <w:gridCol w:w="797"/>
      </w:tblGrid>
      <w:tr>
        <w:tblPrEx>
          <w:tblCellMar>
            <w:top w:w="0" w:type="dxa"/>
            <w:left w:w="108" w:type="dxa"/>
            <w:bottom w:w="0" w:type="dxa"/>
            <w:right w:w="108" w:type="dxa"/>
          </w:tblCellMar>
        </w:tblPrEx>
        <w:trPr>
          <w:trHeight w:val="280" w:hRule="atLeast"/>
          <w:jc w:val="center"/>
        </w:trPr>
        <w:tc>
          <w:tcPr>
            <w:tcW w:w="8645" w:type="dxa"/>
            <w:gridSpan w:val="9"/>
            <w:tcBorders>
              <w:bottom w:val="single" w:color="auto" w:sz="4" w:space="0"/>
            </w:tcBorders>
            <w:shd w:val="clear" w:color="auto" w:fill="auto"/>
            <w:vAlign w:val="bottom"/>
          </w:tcPr>
          <w:p>
            <w:pPr>
              <w:pStyle w:val="38"/>
            </w:pPr>
            <w:r>
              <w:rPr>
                <w:color w:val="FF0000"/>
              </w:rPr>
              <w:t>表A.</w:t>
            </w:r>
            <w:r>
              <w:rPr>
                <w:color w:val="FF0000"/>
              </w:rPr>
              <w:fldChar w:fldCharType="begin"/>
            </w:r>
            <w:r>
              <w:rPr>
                <w:color w:val="FF0000"/>
              </w:rPr>
              <w:instrText xml:space="preserve"> SEQ 附录表B \* ARABIC </w:instrText>
            </w:r>
            <w:r>
              <w:rPr>
                <w:color w:val="FF0000"/>
              </w:rPr>
              <w:fldChar w:fldCharType="separate"/>
            </w:r>
            <w:r>
              <w:rPr>
                <w:color w:val="FF0000"/>
              </w:rPr>
              <w:t>6</w:t>
            </w:r>
            <w:r>
              <w:rPr>
                <w:color w:val="FF0000"/>
              </w:rPr>
              <w:fldChar w:fldCharType="end"/>
            </w:r>
            <w:r>
              <w:rPr>
                <w:rFonts w:hint="eastAsia"/>
                <w:color w:val="FF0000"/>
              </w:rPr>
              <w:t>单位工程竣工验收记录</w:t>
            </w:r>
          </w:p>
        </w:tc>
      </w:tr>
      <w:tr>
        <w:tblPrEx>
          <w:tblCellMar>
            <w:top w:w="0" w:type="dxa"/>
            <w:left w:w="108" w:type="dxa"/>
            <w:bottom w:w="0" w:type="dxa"/>
            <w:right w:w="108" w:type="dxa"/>
          </w:tblCellMar>
        </w:tblPrEx>
        <w:trPr>
          <w:trHeight w:val="280" w:hRule="atLeast"/>
          <w:jc w:val="center"/>
        </w:trPr>
        <w:tc>
          <w:tcPr>
            <w:tcW w:w="1144" w:type="dxa"/>
            <w:gridSpan w:val="2"/>
            <w:tcBorders>
              <w:top w:val="single" w:color="auto" w:sz="4" w:space="0"/>
              <w:left w:val="single" w:color="auto" w:sz="4" w:space="0"/>
              <w:bottom w:val="single" w:color="auto" w:sz="4" w:space="0"/>
              <w:right w:val="single" w:color="auto" w:sz="4" w:space="0"/>
            </w:tcBorders>
            <w:shd w:val="clear" w:color="auto" w:fill="auto"/>
            <w:vAlign w:val="bottom"/>
          </w:tcPr>
          <w:p>
            <w:pPr>
              <w:pStyle w:val="49"/>
            </w:pPr>
            <w:r>
              <w:rPr>
                <w:rFonts w:hint="eastAsia"/>
              </w:rPr>
              <w:t>工程名称</w:t>
            </w:r>
          </w:p>
        </w:tc>
        <w:tc>
          <w:tcPr>
            <w:tcW w:w="2127" w:type="dxa"/>
            <w:gridSpan w:val="2"/>
            <w:tcBorders>
              <w:top w:val="single" w:color="auto" w:sz="4" w:space="0"/>
              <w:left w:val="nil"/>
              <w:bottom w:val="single" w:color="auto" w:sz="4" w:space="0"/>
              <w:right w:val="single" w:color="auto" w:sz="4" w:space="0"/>
            </w:tcBorders>
            <w:shd w:val="clear" w:color="auto" w:fill="auto"/>
            <w:vAlign w:val="bottom"/>
          </w:tcPr>
          <w:p>
            <w:pPr>
              <w:pStyle w:val="49"/>
            </w:pPr>
            <w:r>
              <w:rPr>
                <w:rFonts w:hint="eastAsia"/>
              </w:rPr>
              <w:t>　</w:t>
            </w:r>
          </w:p>
        </w:tc>
        <w:tc>
          <w:tcPr>
            <w:tcW w:w="1559" w:type="dxa"/>
            <w:gridSpan w:val="2"/>
            <w:tcBorders>
              <w:top w:val="single" w:color="auto" w:sz="4" w:space="0"/>
              <w:left w:val="nil"/>
              <w:bottom w:val="single" w:color="auto" w:sz="4" w:space="0"/>
              <w:right w:val="single" w:color="auto" w:sz="4" w:space="0"/>
            </w:tcBorders>
            <w:shd w:val="clear" w:color="auto" w:fill="auto"/>
            <w:vAlign w:val="bottom"/>
          </w:tcPr>
          <w:p>
            <w:pPr>
              <w:pStyle w:val="49"/>
            </w:pPr>
            <w:r>
              <w:rPr>
                <w:rFonts w:hint="eastAsia"/>
              </w:rPr>
              <w:t>开工时间</w:t>
            </w:r>
          </w:p>
        </w:tc>
        <w:tc>
          <w:tcPr>
            <w:tcW w:w="1485" w:type="dxa"/>
            <w:tcBorders>
              <w:top w:val="single" w:color="auto" w:sz="4" w:space="0"/>
              <w:left w:val="nil"/>
              <w:bottom w:val="single" w:color="auto" w:sz="4" w:space="0"/>
              <w:right w:val="single" w:color="auto" w:sz="4" w:space="0"/>
            </w:tcBorders>
            <w:shd w:val="clear" w:color="auto" w:fill="auto"/>
            <w:vAlign w:val="bottom"/>
          </w:tcPr>
          <w:p>
            <w:pPr>
              <w:pStyle w:val="49"/>
            </w:pPr>
            <w:r>
              <w:rPr>
                <w:rFonts w:hint="eastAsia"/>
              </w:rPr>
              <w:t>　</w:t>
            </w:r>
          </w:p>
        </w:tc>
        <w:tc>
          <w:tcPr>
            <w:tcW w:w="1533" w:type="dxa"/>
            <w:tcBorders>
              <w:top w:val="single" w:color="auto" w:sz="4" w:space="0"/>
              <w:left w:val="nil"/>
              <w:bottom w:val="single" w:color="auto" w:sz="4" w:space="0"/>
              <w:right w:val="single" w:color="auto" w:sz="4" w:space="0"/>
            </w:tcBorders>
            <w:shd w:val="clear" w:color="auto" w:fill="auto"/>
            <w:vAlign w:val="bottom"/>
          </w:tcPr>
          <w:p>
            <w:pPr>
              <w:pStyle w:val="49"/>
            </w:pPr>
            <w:r>
              <w:rPr>
                <w:rFonts w:hint="eastAsia"/>
              </w:rPr>
              <w:t>竣工时间</w:t>
            </w:r>
          </w:p>
        </w:tc>
        <w:tc>
          <w:tcPr>
            <w:tcW w:w="797" w:type="dxa"/>
            <w:tcBorders>
              <w:top w:val="single" w:color="auto" w:sz="4" w:space="0"/>
              <w:left w:val="nil"/>
              <w:bottom w:val="single" w:color="auto" w:sz="4" w:space="0"/>
              <w:right w:val="single" w:color="auto" w:sz="4" w:space="0"/>
            </w:tcBorders>
            <w:shd w:val="clear" w:color="auto" w:fill="auto"/>
            <w:vAlign w:val="bottom"/>
          </w:tcPr>
          <w:p>
            <w:pPr>
              <w:pStyle w:val="49"/>
            </w:pPr>
            <w:r>
              <w:rPr>
                <w:rFonts w:hint="eastAsia"/>
              </w:rPr>
              <w:t>　</w:t>
            </w:r>
          </w:p>
        </w:tc>
      </w:tr>
      <w:tr>
        <w:tblPrEx>
          <w:tblCellMar>
            <w:top w:w="0" w:type="dxa"/>
            <w:left w:w="108" w:type="dxa"/>
            <w:bottom w:w="0" w:type="dxa"/>
            <w:right w:w="108" w:type="dxa"/>
          </w:tblCellMar>
        </w:tblPrEx>
        <w:trPr>
          <w:trHeight w:val="280" w:hRule="atLeast"/>
          <w:jc w:val="center"/>
        </w:trPr>
        <w:tc>
          <w:tcPr>
            <w:tcW w:w="1144" w:type="dxa"/>
            <w:gridSpan w:val="2"/>
            <w:tcBorders>
              <w:top w:val="nil"/>
              <w:left w:val="single" w:color="auto" w:sz="4" w:space="0"/>
              <w:bottom w:val="single" w:color="auto" w:sz="4" w:space="0"/>
              <w:right w:val="single" w:color="auto" w:sz="4" w:space="0"/>
            </w:tcBorders>
            <w:shd w:val="clear" w:color="auto" w:fill="auto"/>
            <w:vAlign w:val="bottom"/>
          </w:tcPr>
          <w:p>
            <w:pPr>
              <w:pStyle w:val="49"/>
            </w:pPr>
            <w:r>
              <w:rPr>
                <w:rFonts w:hint="eastAsia"/>
              </w:rPr>
              <w:t>施工单位</w:t>
            </w:r>
          </w:p>
        </w:tc>
        <w:tc>
          <w:tcPr>
            <w:tcW w:w="2127" w:type="dxa"/>
            <w:gridSpan w:val="2"/>
            <w:tcBorders>
              <w:top w:val="nil"/>
              <w:left w:val="nil"/>
              <w:bottom w:val="single" w:color="auto" w:sz="4" w:space="0"/>
              <w:right w:val="single" w:color="auto" w:sz="4" w:space="0"/>
            </w:tcBorders>
            <w:shd w:val="clear" w:color="auto" w:fill="auto"/>
            <w:vAlign w:val="bottom"/>
          </w:tcPr>
          <w:p>
            <w:pPr>
              <w:pStyle w:val="49"/>
            </w:pPr>
            <w:r>
              <w:rPr>
                <w:rFonts w:hint="eastAsia"/>
              </w:rPr>
              <w:t>　</w:t>
            </w:r>
          </w:p>
        </w:tc>
        <w:tc>
          <w:tcPr>
            <w:tcW w:w="1559" w:type="dxa"/>
            <w:gridSpan w:val="2"/>
            <w:tcBorders>
              <w:top w:val="nil"/>
              <w:left w:val="nil"/>
              <w:bottom w:val="single" w:color="auto" w:sz="4" w:space="0"/>
              <w:right w:val="single" w:color="auto" w:sz="4" w:space="0"/>
            </w:tcBorders>
            <w:shd w:val="clear" w:color="auto" w:fill="auto"/>
            <w:vAlign w:val="bottom"/>
          </w:tcPr>
          <w:p>
            <w:pPr>
              <w:pStyle w:val="49"/>
            </w:pPr>
            <w:r>
              <w:rPr>
                <w:rFonts w:hint="eastAsia"/>
              </w:rPr>
              <w:t>技术负责人</w:t>
            </w:r>
          </w:p>
        </w:tc>
        <w:tc>
          <w:tcPr>
            <w:tcW w:w="1485" w:type="dxa"/>
            <w:tcBorders>
              <w:top w:val="nil"/>
              <w:left w:val="nil"/>
              <w:bottom w:val="single" w:color="auto" w:sz="4" w:space="0"/>
              <w:right w:val="single" w:color="auto" w:sz="4" w:space="0"/>
            </w:tcBorders>
            <w:shd w:val="clear" w:color="auto" w:fill="auto"/>
            <w:vAlign w:val="bottom"/>
          </w:tcPr>
          <w:p>
            <w:pPr>
              <w:pStyle w:val="49"/>
            </w:pPr>
            <w:r>
              <w:rPr>
                <w:rFonts w:hint="eastAsia"/>
              </w:rPr>
              <w:t>　</w:t>
            </w:r>
          </w:p>
        </w:tc>
        <w:tc>
          <w:tcPr>
            <w:tcW w:w="1533" w:type="dxa"/>
            <w:tcBorders>
              <w:top w:val="nil"/>
              <w:left w:val="nil"/>
              <w:bottom w:val="single" w:color="auto" w:sz="4" w:space="0"/>
              <w:right w:val="single" w:color="auto" w:sz="4" w:space="0"/>
            </w:tcBorders>
            <w:shd w:val="clear" w:color="auto" w:fill="auto"/>
            <w:vAlign w:val="bottom"/>
          </w:tcPr>
          <w:p>
            <w:pPr>
              <w:pStyle w:val="49"/>
            </w:pPr>
            <w:r>
              <w:rPr>
                <w:rFonts w:hint="eastAsia"/>
              </w:rPr>
              <w:t>项目经理</w:t>
            </w:r>
          </w:p>
        </w:tc>
        <w:tc>
          <w:tcPr>
            <w:tcW w:w="797" w:type="dxa"/>
            <w:tcBorders>
              <w:top w:val="nil"/>
              <w:left w:val="nil"/>
              <w:bottom w:val="single" w:color="auto" w:sz="4" w:space="0"/>
              <w:right w:val="single" w:color="auto" w:sz="4" w:space="0"/>
            </w:tcBorders>
            <w:shd w:val="clear" w:color="auto" w:fill="auto"/>
            <w:vAlign w:val="bottom"/>
          </w:tcPr>
          <w:p>
            <w:pPr>
              <w:pStyle w:val="49"/>
            </w:pPr>
            <w:r>
              <w:rPr>
                <w:rFonts w:hint="eastAsia"/>
              </w:rPr>
              <w:t>　</w:t>
            </w:r>
          </w:p>
        </w:tc>
      </w:tr>
      <w:tr>
        <w:tblPrEx>
          <w:tblCellMar>
            <w:top w:w="0" w:type="dxa"/>
            <w:left w:w="108" w:type="dxa"/>
            <w:bottom w:w="0" w:type="dxa"/>
            <w:right w:w="108" w:type="dxa"/>
          </w:tblCellMar>
        </w:tblPrEx>
        <w:trPr>
          <w:trHeight w:val="28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pStyle w:val="49"/>
            </w:pPr>
            <w:r>
              <w:rPr>
                <w:rFonts w:hint="eastAsia"/>
              </w:rPr>
              <w:t>序号</w:t>
            </w:r>
          </w:p>
        </w:tc>
        <w:tc>
          <w:tcPr>
            <w:tcW w:w="2567" w:type="dxa"/>
            <w:gridSpan w:val="3"/>
            <w:tcBorders>
              <w:top w:val="nil"/>
              <w:left w:val="nil"/>
              <w:bottom w:val="single" w:color="auto" w:sz="4" w:space="0"/>
              <w:right w:val="single" w:color="auto" w:sz="4" w:space="0"/>
            </w:tcBorders>
            <w:shd w:val="clear" w:color="auto" w:fill="auto"/>
            <w:vAlign w:val="bottom"/>
          </w:tcPr>
          <w:p>
            <w:pPr>
              <w:pStyle w:val="49"/>
            </w:pPr>
            <w:r>
              <w:rPr>
                <w:rFonts w:hint="eastAsia"/>
              </w:rPr>
              <w:t>项目</w:t>
            </w:r>
          </w:p>
        </w:tc>
        <w:tc>
          <w:tcPr>
            <w:tcW w:w="3044" w:type="dxa"/>
            <w:gridSpan w:val="3"/>
            <w:tcBorders>
              <w:top w:val="nil"/>
              <w:left w:val="nil"/>
              <w:bottom w:val="single" w:color="auto" w:sz="4" w:space="0"/>
              <w:right w:val="single" w:color="auto" w:sz="4" w:space="0"/>
            </w:tcBorders>
            <w:shd w:val="clear" w:color="auto" w:fill="auto"/>
            <w:vAlign w:val="bottom"/>
          </w:tcPr>
          <w:p>
            <w:pPr>
              <w:pStyle w:val="49"/>
            </w:pPr>
            <w:r>
              <w:rPr>
                <w:rFonts w:hint="eastAsia"/>
              </w:rPr>
              <w:t>验收记录</w:t>
            </w:r>
          </w:p>
        </w:tc>
        <w:tc>
          <w:tcPr>
            <w:tcW w:w="2330" w:type="dxa"/>
            <w:gridSpan w:val="2"/>
            <w:tcBorders>
              <w:top w:val="nil"/>
              <w:left w:val="nil"/>
              <w:bottom w:val="single" w:color="auto" w:sz="4" w:space="0"/>
              <w:right w:val="single" w:color="auto" w:sz="4" w:space="0"/>
            </w:tcBorders>
            <w:shd w:val="clear" w:color="auto" w:fill="auto"/>
            <w:vAlign w:val="bottom"/>
          </w:tcPr>
          <w:p>
            <w:pPr>
              <w:pStyle w:val="49"/>
            </w:pPr>
            <w:r>
              <w:rPr>
                <w:rFonts w:hint="eastAsia"/>
              </w:rPr>
              <w:t>验收结论</w:t>
            </w:r>
          </w:p>
        </w:tc>
      </w:tr>
      <w:tr>
        <w:tblPrEx>
          <w:tblCellMar>
            <w:top w:w="0" w:type="dxa"/>
            <w:left w:w="108" w:type="dxa"/>
            <w:bottom w:w="0" w:type="dxa"/>
            <w:right w:w="108" w:type="dxa"/>
          </w:tblCellMar>
        </w:tblPrEx>
        <w:trPr>
          <w:trHeight w:val="28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pStyle w:val="49"/>
            </w:pPr>
            <w:r>
              <w:t>1</w:t>
            </w:r>
          </w:p>
        </w:tc>
        <w:tc>
          <w:tcPr>
            <w:tcW w:w="2567" w:type="dxa"/>
            <w:gridSpan w:val="3"/>
            <w:tcBorders>
              <w:top w:val="nil"/>
              <w:left w:val="nil"/>
              <w:bottom w:val="single" w:color="auto" w:sz="4" w:space="0"/>
              <w:right w:val="single" w:color="auto" w:sz="4" w:space="0"/>
            </w:tcBorders>
            <w:shd w:val="clear" w:color="auto" w:fill="auto"/>
            <w:vAlign w:val="bottom"/>
          </w:tcPr>
          <w:p>
            <w:pPr>
              <w:pStyle w:val="49"/>
            </w:pPr>
            <w:r>
              <w:rPr>
                <w:rFonts w:hint="eastAsia"/>
              </w:rPr>
              <w:t>分部工程</w:t>
            </w:r>
          </w:p>
        </w:tc>
        <w:tc>
          <w:tcPr>
            <w:tcW w:w="3044" w:type="dxa"/>
            <w:gridSpan w:val="3"/>
            <w:tcBorders>
              <w:top w:val="nil"/>
              <w:left w:val="nil"/>
              <w:bottom w:val="single" w:color="auto" w:sz="4" w:space="0"/>
              <w:right w:val="single" w:color="auto" w:sz="4" w:space="0"/>
            </w:tcBorders>
            <w:shd w:val="clear" w:color="auto" w:fill="auto"/>
            <w:vAlign w:val="bottom"/>
          </w:tcPr>
          <w:p>
            <w:pPr>
              <w:pStyle w:val="49"/>
            </w:pPr>
          </w:p>
        </w:tc>
        <w:tc>
          <w:tcPr>
            <w:tcW w:w="2330" w:type="dxa"/>
            <w:gridSpan w:val="2"/>
            <w:tcBorders>
              <w:top w:val="nil"/>
              <w:left w:val="nil"/>
              <w:bottom w:val="single" w:color="auto" w:sz="4" w:space="0"/>
              <w:right w:val="single" w:color="auto" w:sz="4" w:space="0"/>
            </w:tcBorders>
            <w:shd w:val="clear" w:color="auto" w:fill="auto"/>
            <w:vAlign w:val="bottom"/>
          </w:tcPr>
          <w:p>
            <w:pPr>
              <w:pStyle w:val="49"/>
            </w:pPr>
          </w:p>
        </w:tc>
      </w:tr>
      <w:tr>
        <w:tblPrEx>
          <w:tblCellMar>
            <w:top w:w="0" w:type="dxa"/>
            <w:left w:w="108" w:type="dxa"/>
            <w:bottom w:w="0" w:type="dxa"/>
            <w:right w:w="108" w:type="dxa"/>
          </w:tblCellMar>
        </w:tblPrEx>
        <w:trPr>
          <w:trHeight w:val="28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pStyle w:val="49"/>
            </w:pPr>
            <w:r>
              <w:t>2</w:t>
            </w:r>
          </w:p>
        </w:tc>
        <w:tc>
          <w:tcPr>
            <w:tcW w:w="2567" w:type="dxa"/>
            <w:gridSpan w:val="3"/>
            <w:tcBorders>
              <w:top w:val="nil"/>
              <w:left w:val="nil"/>
              <w:bottom w:val="single" w:color="auto" w:sz="4" w:space="0"/>
              <w:right w:val="single" w:color="auto" w:sz="4" w:space="0"/>
            </w:tcBorders>
            <w:shd w:val="clear" w:color="auto" w:fill="auto"/>
            <w:vAlign w:val="bottom"/>
          </w:tcPr>
          <w:p>
            <w:pPr>
              <w:pStyle w:val="49"/>
            </w:pPr>
            <w:r>
              <w:rPr>
                <w:rFonts w:hint="eastAsia"/>
              </w:rPr>
              <w:t>质量控制资料核查</w:t>
            </w:r>
          </w:p>
        </w:tc>
        <w:tc>
          <w:tcPr>
            <w:tcW w:w="3044" w:type="dxa"/>
            <w:gridSpan w:val="3"/>
            <w:tcBorders>
              <w:top w:val="nil"/>
              <w:left w:val="nil"/>
              <w:bottom w:val="single" w:color="auto" w:sz="4" w:space="0"/>
              <w:right w:val="single" w:color="auto" w:sz="4" w:space="0"/>
            </w:tcBorders>
            <w:shd w:val="clear" w:color="auto" w:fill="auto"/>
            <w:vAlign w:val="bottom"/>
          </w:tcPr>
          <w:p>
            <w:pPr>
              <w:pStyle w:val="49"/>
            </w:pPr>
          </w:p>
        </w:tc>
        <w:tc>
          <w:tcPr>
            <w:tcW w:w="2330" w:type="dxa"/>
            <w:gridSpan w:val="2"/>
            <w:tcBorders>
              <w:top w:val="nil"/>
              <w:left w:val="nil"/>
              <w:bottom w:val="single" w:color="auto" w:sz="4" w:space="0"/>
              <w:right w:val="single" w:color="auto" w:sz="4" w:space="0"/>
            </w:tcBorders>
            <w:shd w:val="clear" w:color="auto" w:fill="auto"/>
            <w:vAlign w:val="bottom"/>
          </w:tcPr>
          <w:p>
            <w:pPr>
              <w:pStyle w:val="49"/>
            </w:pPr>
          </w:p>
        </w:tc>
      </w:tr>
      <w:tr>
        <w:tblPrEx>
          <w:tblCellMar>
            <w:top w:w="0" w:type="dxa"/>
            <w:left w:w="108" w:type="dxa"/>
            <w:bottom w:w="0" w:type="dxa"/>
            <w:right w:w="108" w:type="dxa"/>
          </w:tblCellMar>
        </w:tblPrEx>
        <w:trPr>
          <w:trHeight w:val="28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pStyle w:val="49"/>
            </w:pPr>
            <w:r>
              <w:t>3</w:t>
            </w:r>
          </w:p>
        </w:tc>
        <w:tc>
          <w:tcPr>
            <w:tcW w:w="2567" w:type="dxa"/>
            <w:gridSpan w:val="3"/>
            <w:tcBorders>
              <w:top w:val="nil"/>
              <w:left w:val="nil"/>
              <w:bottom w:val="single" w:color="auto" w:sz="4" w:space="0"/>
              <w:right w:val="single" w:color="auto" w:sz="4" w:space="0"/>
            </w:tcBorders>
            <w:shd w:val="clear" w:color="auto" w:fill="auto"/>
            <w:vAlign w:val="bottom"/>
          </w:tcPr>
          <w:p>
            <w:pPr>
              <w:pStyle w:val="49"/>
            </w:pPr>
            <w:r>
              <w:rPr>
                <w:rFonts w:hint="eastAsia"/>
              </w:rPr>
              <w:t>安全和主要使用功能核查及抽查结果</w:t>
            </w:r>
          </w:p>
        </w:tc>
        <w:tc>
          <w:tcPr>
            <w:tcW w:w="3044" w:type="dxa"/>
            <w:gridSpan w:val="3"/>
            <w:tcBorders>
              <w:top w:val="nil"/>
              <w:left w:val="nil"/>
              <w:bottom w:val="single" w:color="auto" w:sz="4" w:space="0"/>
              <w:right w:val="single" w:color="auto" w:sz="4" w:space="0"/>
            </w:tcBorders>
            <w:shd w:val="clear" w:color="auto" w:fill="auto"/>
            <w:vAlign w:val="center"/>
          </w:tcPr>
          <w:p>
            <w:pPr>
              <w:pStyle w:val="49"/>
            </w:pPr>
          </w:p>
        </w:tc>
        <w:tc>
          <w:tcPr>
            <w:tcW w:w="2330" w:type="dxa"/>
            <w:gridSpan w:val="2"/>
            <w:tcBorders>
              <w:top w:val="nil"/>
              <w:left w:val="nil"/>
              <w:bottom w:val="single" w:color="auto" w:sz="4" w:space="0"/>
              <w:right w:val="single" w:color="auto" w:sz="4" w:space="0"/>
            </w:tcBorders>
            <w:shd w:val="clear" w:color="auto" w:fill="auto"/>
            <w:vAlign w:val="center"/>
          </w:tcPr>
          <w:p>
            <w:pPr>
              <w:pStyle w:val="49"/>
            </w:pPr>
          </w:p>
        </w:tc>
      </w:tr>
      <w:tr>
        <w:tblPrEx>
          <w:tblCellMar>
            <w:top w:w="0" w:type="dxa"/>
            <w:left w:w="108" w:type="dxa"/>
            <w:bottom w:w="0" w:type="dxa"/>
            <w:right w:w="108" w:type="dxa"/>
          </w:tblCellMar>
        </w:tblPrEx>
        <w:trPr>
          <w:trHeight w:val="28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pStyle w:val="49"/>
            </w:pPr>
            <w:r>
              <w:t>4</w:t>
            </w:r>
          </w:p>
        </w:tc>
        <w:tc>
          <w:tcPr>
            <w:tcW w:w="2567" w:type="dxa"/>
            <w:gridSpan w:val="3"/>
            <w:tcBorders>
              <w:top w:val="nil"/>
              <w:left w:val="nil"/>
              <w:bottom w:val="single" w:color="auto" w:sz="4" w:space="0"/>
              <w:right w:val="single" w:color="auto" w:sz="4" w:space="0"/>
            </w:tcBorders>
            <w:shd w:val="clear" w:color="auto" w:fill="auto"/>
            <w:vAlign w:val="bottom"/>
          </w:tcPr>
          <w:p>
            <w:pPr>
              <w:pStyle w:val="49"/>
            </w:pPr>
            <w:r>
              <w:rPr>
                <w:rFonts w:hint="eastAsia"/>
              </w:rPr>
              <w:t>外观质量验收</w:t>
            </w:r>
          </w:p>
        </w:tc>
        <w:tc>
          <w:tcPr>
            <w:tcW w:w="3044" w:type="dxa"/>
            <w:gridSpan w:val="3"/>
            <w:tcBorders>
              <w:top w:val="nil"/>
              <w:left w:val="nil"/>
              <w:bottom w:val="single" w:color="auto" w:sz="4" w:space="0"/>
              <w:right w:val="single" w:color="auto" w:sz="4" w:space="0"/>
            </w:tcBorders>
            <w:shd w:val="clear" w:color="auto" w:fill="auto"/>
            <w:vAlign w:val="bottom"/>
          </w:tcPr>
          <w:p>
            <w:pPr>
              <w:pStyle w:val="49"/>
            </w:pPr>
          </w:p>
        </w:tc>
        <w:tc>
          <w:tcPr>
            <w:tcW w:w="2330" w:type="dxa"/>
            <w:gridSpan w:val="2"/>
            <w:tcBorders>
              <w:top w:val="nil"/>
              <w:left w:val="nil"/>
              <w:bottom w:val="single" w:color="auto" w:sz="4" w:space="0"/>
              <w:right w:val="single" w:color="auto" w:sz="4" w:space="0"/>
            </w:tcBorders>
            <w:shd w:val="clear" w:color="auto" w:fill="auto"/>
            <w:vAlign w:val="bottom"/>
          </w:tcPr>
          <w:p>
            <w:pPr>
              <w:pStyle w:val="49"/>
            </w:pPr>
          </w:p>
        </w:tc>
      </w:tr>
      <w:tr>
        <w:tblPrEx>
          <w:tblCellMar>
            <w:top w:w="0" w:type="dxa"/>
            <w:left w:w="108" w:type="dxa"/>
            <w:bottom w:w="0" w:type="dxa"/>
            <w:right w:w="108" w:type="dxa"/>
          </w:tblCellMar>
        </w:tblPrEx>
        <w:trPr>
          <w:trHeight w:val="280"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pPr>
              <w:pStyle w:val="49"/>
            </w:pPr>
            <w:r>
              <w:t>5</w:t>
            </w:r>
          </w:p>
        </w:tc>
        <w:tc>
          <w:tcPr>
            <w:tcW w:w="2567" w:type="dxa"/>
            <w:gridSpan w:val="3"/>
            <w:tcBorders>
              <w:top w:val="nil"/>
              <w:left w:val="nil"/>
              <w:bottom w:val="single" w:color="auto" w:sz="4" w:space="0"/>
              <w:right w:val="single" w:color="auto" w:sz="4" w:space="0"/>
            </w:tcBorders>
            <w:shd w:val="clear" w:color="auto" w:fill="auto"/>
            <w:vAlign w:val="bottom"/>
          </w:tcPr>
          <w:p>
            <w:pPr>
              <w:pStyle w:val="49"/>
            </w:pPr>
            <w:r>
              <w:rPr>
                <w:rFonts w:hint="eastAsia"/>
              </w:rPr>
              <w:t>综合验收结论</w:t>
            </w:r>
          </w:p>
        </w:tc>
        <w:tc>
          <w:tcPr>
            <w:tcW w:w="3044" w:type="dxa"/>
            <w:gridSpan w:val="3"/>
            <w:tcBorders>
              <w:top w:val="nil"/>
              <w:left w:val="nil"/>
              <w:bottom w:val="single" w:color="auto" w:sz="4" w:space="0"/>
              <w:right w:val="single" w:color="auto" w:sz="4" w:space="0"/>
            </w:tcBorders>
            <w:shd w:val="clear" w:color="auto" w:fill="auto"/>
            <w:vAlign w:val="bottom"/>
          </w:tcPr>
          <w:p>
            <w:pPr>
              <w:pStyle w:val="49"/>
            </w:pPr>
          </w:p>
        </w:tc>
        <w:tc>
          <w:tcPr>
            <w:tcW w:w="2330" w:type="dxa"/>
            <w:gridSpan w:val="2"/>
            <w:tcBorders>
              <w:top w:val="nil"/>
              <w:left w:val="nil"/>
              <w:bottom w:val="single" w:color="auto" w:sz="4" w:space="0"/>
              <w:right w:val="single" w:color="auto" w:sz="4" w:space="0"/>
            </w:tcBorders>
            <w:shd w:val="clear" w:color="auto" w:fill="auto"/>
            <w:vAlign w:val="bottom"/>
          </w:tcPr>
          <w:p>
            <w:pPr>
              <w:pStyle w:val="49"/>
            </w:pPr>
          </w:p>
        </w:tc>
      </w:tr>
      <w:tr>
        <w:tblPrEx>
          <w:tblCellMar>
            <w:top w:w="0" w:type="dxa"/>
            <w:left w:w="108" w:type="dxa"/>
            <w:bottom w:w="0" w:type="dxa"/>
            <w:right w:w="108" w:type="dxa"/>
          </w:tblCellMar>
        </w:tblPrEx>
        <w:trPr>
          <w:trHeight w:val="280" w:hRule="atLeast"/>
          <w:jc w:val="center"/>
        </w:trPr>
        <w:tc>
          <w:tcPr>
            <w:tcW w:w="70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9"/>
            </w:pPr>
            <w:r>
              <w:rPr>
                <w:rFonts w:hint="eastAsia"/>
              </w:rPr>
              <w:t>参加验收单位</w:t>
            </w:r>
          </w:p>
        </w:tc>
        <w:tc>
          <w:tcPr>
            <w:tcW w:w="1843" w:type="dxa"/>
            <w:gridSpan w:val="2"/>
            <w:tcBorders>
              <w:top w:val="single" w:color="auto" w:sz="4" w:space="0"/>
              <w:left w:val="nil"/>
              <w:bottom w:val="single" w:color="auto" w:sz="4" w:space="0"/>
              <w:right w:val="single" w:color="auto" w:sz="4" w:space="0"/>
            </w:tcBorders>
            <w:shd w:val="clear" w:color="auto" w:fill="auto"/>
            <w:vAlign w:val="center"/>
          </w:tcPr>
          <w:p>
            <w:pPr>
              <w:pStyle w:val="49"/>
            </w:pPr>
            <w:r>
              <w:rPr>
                <w:rFonts w:hint="eastAsia"/>
              </w:rPr>
              <w:t>建设单位</w:t>
            </w: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pStyle w:val="49"/>
            </w:pPr>
            <w:r>
              <w:rPr>
                <w:rFonts w:hint="eastAsia"/>
              </w:rPr>
              <w:t>监理单位</w:t>
            </w:r>
          </w:p>
        </w:tc>
        <w:tc>
          <w:tcPr>
            <w:tcW w:w="2067" w:type="dxa"/>
            <w:gridSpan w:val="2"/>
            <w:tcBorders>
              <w:top w:val="single" w:color="auto" w:sz="4" w:space="0"/>
              <w:left w:val="nil"/>
              <w:bottom w:val="single" w:color="auto" w:sz="4" w:space="0"/>
              <w:right w:val="single" w:color="auto" w:sz="4" w:space="0"/>
            </w:tcBorders>
            <w:shd w:val="clear" w:color="auto" w:fill="auto"/>
            <w:vAlign w:val="center"/>
          </w:tcPr>
          <w:p>
            <w:pPr>
              <w:pStyle w:val="49"/>
            </w:pPr>
            <w:r>
              <w:rPr>
                <w:rFonts w:hint="eastAsia"/>
              </w:rPr>
              <w:t>施工单位</w:t>
            </w:r>
          </w:p>
        </w:tc>
        <w:tc>
          <w:tcPr>
            <w:tcW w:w="2330" w:type="dxa"/>
            <w:gridSpan w:val="2"/>
            <w:tcBorders>
              <w:top w:val="single" w:color="auto" w:sz="4" w:space="0"/>
              <w:left w:val="nil"/>
              <w:bottom w:val="single" w:color="auto" w:sz="4" w:space="0"/>
              <w:right w:val="single" w:color="auto" w:sz="4" w:space="0"/>
            </w:tcBorders>
            <w:shd w:val="clear" w:color="auto" w:fill="auto"/>
            <w:vAlign w:val="center"/>
          </w:tcPr>
          <w:p>
            <w:pPr>
              <w:pStyle w:val="49"/>
            </w:pPr>
            <w:r>
              <w:rPr>
                <w:rFonts w:hint="eastAsia"/>
              </w:rPr>
              <w:t>设计单位</w:t>
            </w:r>
          </w:p>
        </w:tc>
      </w:tr>
      <w:tr>
        <w:tblPrEx>
          <w:tblCellMar>
            <w:top w:w="0" w:type="dxa"/>
            <w:left w:w="108" w:type="dxa"/>
            <w:bottom w:w="0" w:type="dxa"/>
            <w:right w:w="108" w:type="dxa"/>
          </w:tblCellMar>
        </w:tblPrEx>
        <w:trPr>
          <w:trHeight w:val="1862" w:hRule="atLeast"/>
          <w:jc w:val="center"/>
        </w:trPr>
        <w:tc>
          <w:tcPr>
            <w:tcW w:w="704" w:type="dxa"/>
            <w:vMerge w:val="continue"/>
            <w:tcBorders>
              <w:top w:val="single" w:color="auto" w:sz="4" w:space="0"/>
              <w:left w:val="single" w:color="auto" w:sz="4" w:space="0"/>
              <w:bottom w:val="single" w:color="auto" w:sz="4" w:space="0"/>
              <w:right w:val="single" w:color="auto" w:sz="4" w:space="0"/>
            </w:tcBorders>
            <w:shd w:val="clear" w:color="auto" w:fill="auto"/>
            <w:vAlign w:val="bottom"/>
          </w:tcPr>
          <w:p>
            <w:pPr>
              <w:pStyle w:val="49"/>
            </w:pPr>
          </w:p>
        </w:tc>
        <w:tc>
          <w:tcPr>
            <w:tcW w:w="1843" w:type="dxa"/>
            <w:gridSpan w:val="2"/>
            <w:tcBorders>
              <w:top w:val="single" w:color="auto" w:sz="4" w:space="0"/>
              <w:left w:val="nil"/>
              <w:bottom w:val="single" w:color="auto" w:sz="4" w:space="0"/>
              <w:right w:val="single" w:color="auto" w:sz="4" w:space="0"/>
            </w:tcBorders>
            <w:shd w:val="clear" w:color="auto" w:fill="auto"/>
            <w:vAlign w:val="center"/>
          </w:tcPr>
          <w:p>
            <w:pPr>
              <w:pStyle w:val="49"/>
            </w:pPr>
            <w:r>
              <w:rPr>
                <w:rFonts w:hint="eastAsia"/>
              </w:rPr>
              <w:t>单位（项目）负责人</w:t>
            </w:r>
          </w:p>
          <w:p>
            <w:pPr>
              <w:pStyle w:val="49"/>
            </w:pPr>
            <w:r>
              <w:rPr>
                <w:rFonts w:hint="eastAsia"/>
              </w:rPr>
              <w:t>（公章）</w:t>
            </w:r>
          </w:p>
          <w:p>
            <w:pPr>
              <w:pStyle w:val="49"/>
            </w:pP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pStyle w:val="49"/>
            </w:pPr>
            <w:r>
              <w:rPr>
                <w:rFonts w:hint="eastAsia"/>
              </w:rPr>
              <w:t>总监理工程师</w:t>
            </w:r>
          </w:p>
          <w:p>
            <w:pPr>
              <w:pStyle w:val="49"/>
            </w:pPr>
            <w:r>
              <w:rPr>
                <w:rFonts w:hint="eastAsia"/>
              </w:rPr>
              <w:t>（公章）</w:t>
            </w:r>
          </w:p>
          <w:p>
            <w:pPr>
              <w:pStyle w:val="49"/>
            </w:pPr>
          </w:p>
        </w:tc>
        <w:tc>
          <w:tcPr>
            <w:tcW w:w="2067" w:type="dxa"/>
            <w:gridSpan w:val="2"/>
            <w:tcBorders>
              <w:top w:val="single" w:color="auto" w:sz="4" w:space="0"/>
              <w:left w:val="nil"/>
              <w:bottom w:val="single" w:color="auto" w:sz="4" w:space="0"/>
              <w:right w:val="single" w:color="auto" w:sz="4" w:space="0"/>
            </w:tcBorders>
            <w:shd w:val="clear" w:color="auto" w:fill="auto"/>
            <w:vAlign w:val="center"/>
          </w:tcPr>
          <w:p>
            <w:pPr>
              <w:pStyle w:val="49"/>
            </w:pPr>
            <w:r>
              <w:rPr>
                <w:rFonts w:hint="eastAsia"/>
              </w:rPr>
              <w:t>单位（项目）负责人</w:t>
            </w:r>
          </w:p>
          <w:p>
            <w:pPr>
              <w:pStyle w:val="49"/>
            </w:pPr>
            <w:r>
              <w:rPr>
                <w:rFonts w:hint="eastAsia"/>
              </w:rPr>
              <w:t>（公章）</w:t>
            </w:r>
          </w:p>
          <w:p>
            <w:pPr>
              <w:pStyle w:val="49"/>
            </w:pPr>
          </w:p>
        </w:tc>
        <w:tc>
          <w:tcPr>
            <w:tcW w:w="2330" w:type="dxa"/>
            <w:gridSpan w:val="2"/>
            <w:tcBorders>
              <w:top w:val="single" w:color="auto" w:sz="4" w:space="0"/>
              <w:left w:val="nil"/>
              <w:bottom w:val="single" w:color="auto" w:sz="4" w:space="0"/>
              <w:right w:val="single" w:color="auto" w:sz="4" w:space="0"/>
            </w:tcBorders>
            <w:shd w:val="clear" w:color="auto" w:fill="auto"/>
            <w:vAlign w:val="center"/>
          </w:tcPr>
          <w:p>
            <w:pPr>
              <w:pStyle w:val="49"/>
            </w:pPr>
            <w:r>
              <w:rPr>
                <w:rFonts w:hint="eastAsia"/>
              </w:rPr>
              <w:t>单位（项目）负责人</w:t>
            </w:r>
          </w:p>
          <w:p>
            <w:pPr>
              <w:pStyle w:val="49"/>
            </w:pPr>
            <w:r>
              <w:rPr>
                <w:rFonts w:hint="eastAsia"/>
              </w:rPr>
              <w:t>（公章）</w:t>
            </w:r>
          </w:p>
          <w:p>
            <w:pPr>
              <w:pStyle w:val="49"/>
            </w:pPr>
          </w:p>
        </w:tc>
      </w:tr>
    </w:tbl>
    <w:p>
      <w:pPr>
        <w:ind w:firstLine="0" w:firstLineChars="0"/>
      </w:pPr>
      <w:r>
        <w:br w:type="page"/>
      </w:r>
    </w:p>
    <w:p>
      <w:pPr>
        <w:pStyle w:val="32"/>
      </w:pPr>
      <w:bookmarkStart w:id="105" w:name="_Toc136506076"/>
      <w:r>
        <w:rPr>
          <w:rFonts w:hint="eastAsia"/>
        </w:rPr>
        <w:t>附录</w:t>
      </w:r>
      <w:r>
        <w:t>B</w:t>
      </w:r>
      <w:r>
        <w:rPr>
          <w:rFonts w:hint="eastAsia"/>
        </w:rPr>
        <w:t>（资料性）</w:t>
      </w:r>
      <w:bookmarkStart w:id="106" w:name="_Toc62642099"/>
      <w:r>
        <w:rPr>
          <w:rFonts w:hint="eastAsia"/>
        </w:rPr>
        <w:t>系统维护检查记录表</w:t>
      </w:r>
      <w:bookmarkEnd w:id="105"/>
      <w:bookmarkEnd w:id="106"/>
    </w:p>
    <w:p>
      <w:pPr>
        <w:pStyle w:val="38"/>
      </w:pPr>
    </w:p>
    <w:tbl>
      <w:tblPr>
        <w:tblStyle w:val="23"/>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1201"/>
        <w:gridCol w:w="904"/>
        <w:gridCol w:w="865"/>
        <w:gridCol w:w="1287"/>
        <w:gridCol w:w="2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6" w:type="dxa"/>
            <w:gridSpan w:val="6"/>
            <w:tcBorders>
              <w:top w:val="nil"/>
              <w:left w:val="nil"/>
              <w:right w:val="nil"/>
            </w:tcBorders>
            <w:vAlign w:val="center"/>
          </w:tcPr>
          <w:p>
            <w:pPr>
              <w:pStyle w:val="38"/>
            </w:pPr>
            <w:r>
              <w:t>表B.</w:t>
            </w:r>
            <w:r>
              <w:fldChar w:fldCharType="begin"/>
            </w:r>
            <w:r>
              <w:instrText xml:space="preserve"> SEQ 附录表B \* ARABIC </w:instrText>
            </w:r>
            <w:r>
              <w:fldChar w:fldCharType="separate"/>
            </w:r>
            <w:r>
              <w:t>1</w:t>
            </w:r>
            <w:r>
              <w:fldChar w:fldCharType="end"/>
            </w:r>
            <w:r>
              <w:rPr>
                <w:rFonts w:hint="eastAsia"/>
              </w:rPr>
              <w:t xml:space="preserve"> 传感器日常检查记录表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7" w:type="dxa"/>
            <w:tcBorders>
              <w:top w:val="single" w:color="auto" w:sz="4" w:space="0"/>
            </w:tcBorders>
            <w:vAlign w:val="center"/>
          </w:tcPr>
          <w:p>
            <w:pPr>
              <w:snapToGrid w:val="0"/>
              <w:spacing w:line="240" w:lineRule="auto"/>
              <w:ind w:firstLine="0" w:firstLineChars="0"/>
              <w:jc w:val="center"/>
              <w:rPr>
                <w:rFonts w:cs="Times New Roman"/>
                <w:sz w:val="21"/>
                <w:szCs w:val="21"/>
              </w:rPr>
            </w:pPr>
            <w:r>
              <w:rPr>
                <w:rFonts w:hint="eastAsia" w:cs="Times New Roman"/>
                <w:sz w:val="21"/>
                <w:szCs w:val="21"/>
              </w:rPr>
              <w:t>项目名称</w:t>
            </w:r>
          </w:p>
        </w:tc>
        <w:tc>
          <w:tcPr>
            <w:tcW w:w="7249" w:type="dxa"/>
            <w:gridSpan w:val="5"/>
            <w:tcBorders>
              <w:top w:val="single" w:color="auto" w:sz="4" w:space="0"/>
            </w:tcBorders>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57" w:type="dxa"/>
            <w:vMerge w:val="restart"/>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检查周期</w:t>
            </w:r>
          </w:p>
        </w:tc>
        <w:tc>
          <w:tcPr>
            <w:tcW w:w="1201" w:type="dxa"/>
            <w:vMerge w:val="restart"/>
            <w:vAlign w:val="center"/>
          </w:tcPr>
          <w:p>
            <w:pPr>
              <w:snapToGrid w:val="0"/>
              <w:spacing w:line="240" w:lineRule="auto"/>
              <w:ind w:firstLine="0" w:firstLineChars="0"/>
              <w:jc w:val="center"/>
              <w:rPr>
                <w:rFonts w:cs="Times New Roman"/>
                <w:sz w:val="21"/>
                <w:szCs w:val="21"/>
              </w:rPr>
            </w:pPr>
          </w:p>
        </w:tc>
        <w:tc>
          <w:tcPr>
            <w:tcW w:w="904"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操作者</w:t>
            </w:r>
          </w:p>
        </w:tc>
        <w:tc>
          <w:tcPr>
            <w:tcW w:w="865" w:type="dxa"/>
            <w:vAlign w:val="center"/>
          </w:tcPr>
          <w:p>
            <w:pPr>
              <w:snapToGrid w:val="0"/>
              <w:spacing w:line="240" w:lineRule="auto"/>
              <w:ind w:firstLine="0" w:firstLineChars="0"/>
              <w:jc w:val="center"/>
              <w:rPr>
                <w:rFonts w:cs="Times New Roman"/>
                <w:sz w:val="21"/>
                <w:szCs w:val="21"/>
              </w:rPr>
            </w:pPr>
          </w:p>
        </w:tc>
        <w:tc>
          <w:tcPr>
            <w:tcW w:w="1287" w:type="dxa"/>
            <w:vMerge w:val="restart"/>
            <w:vAlign w:val="center"/>
          </w:tcPr>
          <w:p>
            <w:pPr>
              <w:snapToGrid w:val="0"/>
              <w:spacing w:line="240" w:lineRule="auto"/>
              <w:ind w:firstLine="0" w:firstLineChars="0"/>
              <w:jc w:val="center"/>
              <w:rPr>
                <w:rFonts w:cs="Times New Roman"/>
                <w:sz w:val="21"/>
                <w:szCs w:val="21"/>
              </w:rPr>
            </w:pPr>
            <w:r>
              <w:rPr>
                <w:rFonts w:hint="eastAsia" w:cs="Times New Roman"/>
                <w:sz w:val="21"/>
                <w:szCs w:val="21"/>
              </w:rPr>
              <w:t>起止时间</w:t>
            </w:r>
          </w:p>
        </w:tc>
        <w:tc>
          <w:tcPr>
            <w:tcW w:w="2992" w:type="dxa"/>
            <w:vMerge w:val="restart"/>
            <w:vAlign w:val="center"/>
          </w:tcPr>
          <w:p>
            <w:pPr>
              <w:snapToGrid w:val="0"/>
              <w:spacing w:line="240" w:lineRule="auto"/>
              <w:ind w:firstLine="0" w:firstLineChars="0"/>
              <w:jc w:val="center"/>
              <w:rPr>
                <w:rFonts w:cs="Times New Roman"/>
                <w:kern w:val="0"/>
                <w:sz w:val="21"/>
                <w:szCs w:val="21"/>
              </w:rPr>
            </w:pPr>
            <w:r>
              <w:rPr>
                <w:rFonts w:hint="eastAsia" w:cs="Times New Roman"/>
                <w:kern w:val="0"/>
                <w:sz w:val="21"/>
                <w:szCs w:val="21"/>
              </w:rPr>
              <w:t>起：</w:t>
            </w:r>
            <w:r>
              <w:rPr>
                <w:rFonts w:cs="Times New Roman"/>
                <w:kern w:val="0"/>
                <w:sz w:val="21"/>
                <w:szCs w:val="21"/>
              </w:rPr>
              <w:t>____</w:t>
            </w:r>
            <w:r>
              <w:rPr>
                <w:rFonts w:hint="eastAsia" w:cs="Times New Roman"/>
                <w:kern w:val="0"/>
                <w:sz w:val="21"/>
                <w:szCs w:val="21"/>
              </w:rPr>
              <w:t>年</w:t>
            </w:r>
            <w:r>
              <w:rPr>
                <w:rFonts w:cs="Times New Roman"/>
                <w:kern w:val="0"/>
                <w:sz w:val="21"/>
                <w:szCs w:val="21"/>
              </w:rPr>
              <w:t>__</w:t>
            </w:r>
            <w:r>
              <w:rPr>
                <w:rFonts w:hint="eastAsia" w:cs="Times New Roman"/>
                <w:kern w:val="0"/>
                <w:sz w:val="21"/>
                <w:szCs w:val="21"/>
              </w:rPr>
              <w:t>月</w:t>
            </w:r>
            <w:r>
              <w:rPr>
                <w:rFonts w:cs="Times New Roman"/>
                <w:kern w:val="0"/>
                <w:sz w:val="21"/>
                <w:szCs w:val="21"/>
              </w:rPr>
              <w:t>__</w:t>
            </w:r>
            <w:r>
              <w:rPr>
                <w:rFonts w:hint="eastAsia" w:cs="Times New Roman"/>
                <w:kern w:val="0"/>
                <w:sz w:val="21"/>
                <w:szCs w:val="21"/>
              </w:rPr>
              <w:t>日</w:t>
            </w:r>
            <w:r>
              <w:rPr>
                <w:rFonts w:cs="Times New Roman"/>
                <w:kern w:val="0"/>
                <w:sz w:val="21"/>
                <w:szCs w:val="21"/>
              </w:rPr>
              <w:t>__</w:t>
            </w:r>
            <w:r>
              <w:rPr>
                <w:rFonts w:hint="eastAsia" w:cs="Times New Roman"/>
                <w:kern w:val="0"/>
                <w:sz w:val="21"/>
                <w:szCs w:val="21"/>
              </w:rPr>
              <w:t>时</w:t>
            </w:r>
            <w:r>
              <w:rPr>
                <w:rFonts w:cs="Times New Roman"/>
                <w:kern w:val="0"/>
                <w:sz w:val="21"/>
                <w:szCs w:val="21"/>
              </w:rPr>
              <w:t>__</w:t>
            </w:r>
            <w:r>
              <w:rPr>
                <w:rFonts w:hint="eastAsia" w:cs="Times New Roman"/>
                <w:kern w:val="0"/>
                <w:sz w:val="21"/>
                <w:szCs w:val="21"/>
              </w:rPr>
              <w:t>分</w:t>
            </w:r>
          </w:p>
          <w:p>
            <w:pPr>
              <w:snapToGrid w:val="0"/>
              <w:spacing w:line="240" w:lineRule="auto"/>
              <w:ind w:firstLine="0" w:firstLineChars="0"/>
              <w:jc w:val="center"/>
              <w:rPr>
                <w:rFonts w:cs="Times New Roman"/>
                <w:sz w:val="21"/>
                <w:szCs w:val="21"/>
              </w:rPr>
            </w:pPr>
            <w:r>
              <w:rPr>
                <w:rFonts w:hint="eastAsia" w:cs="Times New Roman"/>
                <w:kern w:val="0"/>
                <w:sz w:val="21"/>
                <w:szCs w:val="21"/>
              </w:rPr>
              <w:t>止：</w:t>
            </w:r>
            <w:r>
              <w:rPr>
                <w:rFonts w:cs="Times New Roman"/>
                <w:kern w:val="0"/>
                <w:sz w:val="21"/>
                <w:szCs w:val="21"/>
              </w:rPr>
              <w:t>____</w:t>
            </w:r>
            <w:r>
              <w:rPr>
                <w:rFonts w:hint="eastAsia" w:cs="Times New Roman"/>
                <w:kern w:val="0"/>
                <w:sz w:val="21"/>
                <w:szCs w:val="21"/>
              </w:rPr>
              <w:t>年</w:t>
            </w:r>
            <w:r>
              <w:rPr>
                <w:rFonts w:cs="Times New Roman"/>
                <w:kern w:val="0"/>
                <w:sz w:val="21"/>
                <w:szCs w:val="21"/>
              </w:rPr>
              <w:t>__</w:t>
            </w:r>
            <w:r>
              <w:rPr>
                <w:rFonts w:hint="eastAsia" w:cs="Times New Roman"/>
                <w:kern w:val="0"/>
                <w:sz w:val="21"/>
                <w:szCs w:val="21"/>
              </w:rPr>
              <w:t>月</w:t>
            </w:r>
            <w:r>
              <w:rPr>
                <w:rFonts w:cs="Times New Roman"/>
                <w:kern w:val="0"/>
                <w:sz w:val="21"/>
                <w:szCs w:val="21"/>
              </w:rPr>
              <w:t>__</w:t>
            </w:r>
            <w:r>
              <w:rPr>
                <w:rFonts w:hint="eastAsia" w:cs="Times New Roman"/>
                <w:kern w:val="0"/>
                <w:sz w:val="21"/>
                <w:szCs w:val="21"/>
              </w:rPr>
              <w:t>日</w:t>
            </w:r>
            <w:r>
              <w:rPr>
                <w:rFonts w:cs="Times New Roman"/>
                <w:kern w:val="0"/>
                <w:sz w:val="21"/>
                <w:szCs w:val="21"/>
              </w:rPr>
              <w:t>__</w:t>
            </w:r>
            <w:r>
              <w:rPr>
                <w:rFonts w:hint="eastAsia" w:cs="Times New Roman"/>
                <w:kern w:val="0"/>
                <w:sz w:val="21"/>
                <w:szCs w:val="21"/>
              </w:rPr>
              <w:t>时</w:t>
            </w:r>
            <w:r>
              <w:rPr>
                <w:rFonts w:cs="Times New Roman"/>
                <w:kern w:val="0"/>
                <w:sz w:val="21"/>
                <w:szCs w:val="21"/>
              </w:rPr>
              <w:t>__</w:t>
            </w:r>
            <w:r>
              <w:rPr>
                <w:rFonts w:hint="eastAsia" w:cs="Times New Roman"/>
                <w:kern w:val="0"/>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057" w:type="dxa"/>
            <w:vMerge w:val="continue"/>
            <w:vAlign w:val="center"/>
          </w:tcPr>
          <w:p>
            <w:pPr>
              <w:snapToGrid w:val="0"/>
              <w:spacing w:line="240" w:lineRule="auto"/>
              <w:ind w:firstLine="0" w:firstLineChars="0"/>
              <w:jc w:val="center"/>
              <w:rPr>
                <w:rFonts w:cs="Times New Roman"/>
                <w:sz w:val="21"/>
                <w:szCs w:val="21"/>
              </w:rPr>
            </w:pPr>
          </w:p>
        </w:tc>
        <w:tc>
          <w:tcPr>
            <w:tcW w:w="1201" w:type="dxa"/>
            <w:vMerge w:val="continue"/>
            <w:vAlign w:val="center"/>
          </w:tcPr>
          <w:p>
            <w:pPr>
              <w:snapToGrid w:val="0"/>
              <w:spacing w:line="240" w:lineRule="auto"/>
              <w:ind w:firstLine="0" w:firstLineChars="0"/>
              <w:jc w:val="center"/>
              <w:rPr>
                <w:rFonts w:cs="Times New Roman"/>
                <w:sz w:val="21"/>
                <w:szCs w:val="21"/>
              </w:rPr>
            </w:pPr>
          </w:p>
        </w:tc>
        <w:tc>
          <w:tcPr>
            <w:tcW w:w="904"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复核者</w:t>
            </w:r>
          </w:p>
        </w:tc>
        <w:tc>
          <w:tcPr>
            <w:tcW w:w="865" w:type="dxa"/>
            <w:vAlign w:val="center"/>
          </w:tcPr>
          <w:p>
            <w:pPr>
              <w:snapToGrid w:val="0"/>
              <w:spacing w:line="240" w:lineRule="auto"/>
              <w:ind w:firstLine="0" w:firstLineChars="0"/>
              <w:jc w:val="center"/>
              <w:rPr>
                <w:rFonts w:cs="Times New Roman"/>
                <w:sz w:val="21"/>
                <w:szCs w:val="21"/>
              </w:rPr>
            </w:pPr>
          </w:p>
        </w:tc>
        <w:tc>
          <w:tcPr>
            <w:tcW w:w="1287" w:type="dxa"/>
            <w:vMerge w:val="continue"/>
            <w:vAlign w:val="center"/>
          </w:tcPr>
          <w:p>
            <w:pPr>
              <w:snapToGrid w:val="0"/>
              <w:spacing w:line="240" w:lineRule="auto"/>
              <w:ind w:firstLine="0" w:firstLineChars="0"/>
              <w:jc w:val="center"/>
              <w:rPr>
                <w:rFonts w:cs="Times New Roman"/>
                <w:sz w:val="21"/>
                <w:szCs w:val="21"/>
              </w:rPr>
            </w:pPr>
          </w:p>
        </w:tc>
        <w:tc>
          <w:tcPr>
            <w:tcW w:w="2992" w:type="dxa"/>
            <w:vMerge w:val="continue"/>
            <w:vAlign w:val="center"/>
          </w:tcPr>
          <w:p>
            <w:pPr>
              <w:snapToGrid w:val="0"/>
              <w:spacing w:line="240" w:lineRule="auto"/>
              <w:ind w:firstLine="0" w:firstLineChars="0"/>
              <w:jc w:val="center"/>
              <w:rPr>
                <w:rFonts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8" w:type="dxa"/>
            <w:gridSpan w:val="2"/>
            <w:vAlign w:val="center"/>
          </w:tcPr>
          <w:p>
            <w:pPr>
              <w:snapToGrid w:val="0"/>
              <w:spacing w:line="240" w:lineRule="auto"/>
              <w:ind w:firstLine="0" w:firstLineChars="0"/>
              <w:jc w:val="center"/>
              <w:rPr>
                <w:rFonts w:cs="Times New Roman"/>
                <w:b/>
                <w:sz w:val="21"/>
                <w:szCs w:val="21"/>
              </w:rPr>
            </w:pPr>
            <w:r>
              <w:rPr>
                <w:rFonts w:hint="eastAsia" w:cs="Times New Roman"/>
                <w:b/>
                <w:sz w:val="21"/>
                <w:szCs w:val="21"/>
              </w:rPr>
              <w:t>检查项目</w:t>
            </w:r>
          </w:p>
        </w:tc>
        <w:tc>
          <w:tcPr>
            <w:tcW w:w="1769" w:type="dxa"/>
            <w:gridSpan w:val="2"/>
            <w:vAlign w:val="center"/>
          </w:tcPr>
          <w:p>
            <w:pPr>
              <w:snapToGrid w:val="0"/>
              <w:spacing w:line="240" w:lineRule="auto"/>
              <w:ind w:firstLine="0" w:firstLineChars="0"/>
              <w:jc w:val="center"/>
              <w:rPr>
                <w:rFonts w:cs="Times New Roman"/>
                <w:b/>
                <w:sz w:val="21"/>
                <w:szCs w:val="21"/>
              </w:rPr>
            </w:pPr>
            <w:r>
              <w:rPr>
                <w:rFonts w:hint="eastAsia" w:cs="Times New Roman"/>
                <w:b/>
                <w:sz w:val="21"/>
                <w:szCs w:val="21"/>
              </w:rPr>
              <w:t>结论</w:t>
            </w:r>
          </w:p>
        </w:tc>
        <w:tc>
          <w:tcPr>
            <w:tcW w:w="1287" w:type="dxa"/>
            <w:vAlign w:val="center"/>
          </w:tcPr>
          <w:p>
            <w:pPr>
              <w:snapToGrid w:val="0"/>
              <w:spacing w:line="240" w:lineRule="auto"/>
              <w:ind w:firstLine="0" w:firstLineChars="0"/>
              <w:jc w:val="center"/>
              <w:rPr>
                <w:rFonts w:cs="Times New Roman"/>
                <w:b/>
                <w:sz w:val="21"/>
                <w:szCs w:val="21"/>
              </w:rPr>
            </w:pPr>
            <w:r>
              <w:rPr>
                <w:rFonts w:hint="eastAsia" w:cs="Times New Roman"/>
                <w:b/>
                <w:sz w:val="21"/>
                <w:szCs w:val="21"/>
              </w:rPr>
              <w:t>传感器编号</w:t>
            </w:r>
          </w:p>
        </w:tc>
        <w:tc>
          <w:tcPr>
            <w:tcW w:w="2992" w:type="dxa"/>
            <w:vAlign w:val="center"/>
          </w:tcPr>
          <w:p>
            <w:pPr>
              <w:snapToGrid w:val="0"/>
              <w:spacing w:line="240" w:lineRule="auto"/>
              <w:ind w:firstLine="0" w:firstLineChars="0"/>
              <w:jc w:val="center"/>
              <w:rPr>
                <w:rFonts w:cs="Times New Roman"/>
                <w:b/>
                <w:sz w:val="21"/>
                <w:szCs w:val="21"/>
              </w:rPr>
            </w:pPr>
            <w:r>
              <w:rPr>
                <w:rFonts w:hint="eastAsia" w:cs="Times New Roman"/>
                <w:b/>
                <w:sz w:val="21"/>
                <w:szCs w:val="21"/>
              </w:rPr>
              <w:t>存在问题及维护情况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8"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安装位置是否变动</w:t>
            </w:r>
          </w:p>
          <w:p>
            <w:pPr>
              <w:snapToGrid w:val="0"/>
              <w:spacing w:line="240" w:lineRule="auto"/>
              <w:ind w:firstLine="0" w:firstLineChars="0"/>
              <w:jc w:val="center"/>
              <w:rPr>
                <w:rFonts w:cs="Times New Roman"/>
                <w:sz w:val="21"/>
                <w:szCs w:val="21"/>
              </w:rPr>
            </w:pPr>
            <w:r>
              <w:rPr>
                <w:rFonts w:hint="eastAsia" w:cs="Times New Roman"/>
                <w:sz w:val="21"/>
                <w:szCs w:val="21"/>
              </w:rPr>
              <w:t>或偏移</w:t>
            </w:r>
          </w:p>
        </w:tc>
        <w:tc>
          <w:tcPr>
            <w:tcW w:w="1769"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2992"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8"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传感器安装是否牢固</w:t>
            </w:r>
          </w:p>
        </w:tc>
        <w:tc>
          <w:tcPr>
            <w:tcW w:w="1769"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2992"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8"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传感器密封情况</w:t>
            </w:r>
          </w:p>
        </w:tc>
        <w:tc>
          <w:tcPr>
            <w:tcW w:w="1769"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2992"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8"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传感器清洁情况</w:t>
            </w:r>
          </w:p>
        </w:tc>
        <w:tc>
          <w:tcPr>
            <w:tcW w:w="1769"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2992"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8"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传感器破损情况</w:t>
            </w:r>
          </w:p>
        </w:tc>
        <w:tc>
          <w:tcPr>
            <w:tcW w:w="1769"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2992"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8"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传感器锈蚀情况</w:t>
            </w:r>
          </w:p>
        </w:tc>
        <w:tc>
          <w:tcPr>
            <w:tcW w:w="1769"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2992"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8"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传感器内部积水情况</w:t>
            </w:r>
          </w:p>
        </w:tc>
        <w:tc>
          <w:tcPr>
            <w:tcW w:w="1769"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2992"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8"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传感器接线情况</w:t>
            </w:r>
          </w:p>
        </w:tc>
        <w:tc>
          <w:tcPr>
            <w:tcW w:w="1769"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cs="Times New Roman"/>
                <w:sz w:val="21"/>
                <w:szCs w:val="21"/>
              </w:rPr>
              <w:sym w:font="Wingdings 2" w:char="00A3"/>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2992"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8"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传感器线缆保护层情况</w:t>
            </w:r>
          </w:p>
        </w:tc>
        <w:tc>
          <w:tcPr>
            <w:tcW w:w="1769"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2992"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8"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隔热或冷却装置情况</w:t>
            </w:r>
          </w:p>
        </w:tc>
        <w:tc>
          <w:tcPr>
            <w:tcW w:w="1769"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2992"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8"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电源高低压参数情况</w:t>
            </w:r>
          </w:p>
        </w:tc>
        <w:tc>
          <w:tcPr>
            <w:tcW w:w="1769"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2992"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8"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保护装置情况</w:t>
            </w:r>
          </w:p>
        </w:tc>
        <w:tc>
          <w:tcPr>
            <w:tcW w:w="1769"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2992"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8"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传感器示数情况</w:t>
            </w:r>
          </w:p>
        </w:tc>
        <w:tc>
          <w:tcPr>
            <w:tcW w:w="1769"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2992"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8"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传感器测量性能情况</w:t>
            </w:r>
          </w:p>
        </w:tc>
        <w:tc>
          <w:tcPr>
            <w:tcW w:w="1769"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2992"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8"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其他情况</w:t>
            </w:r>
          </w:p>
        </w:tc>
        <w:tc>
          <w:tcPr>
            <w:tcW w:w="6048" w:type="dxa"/>
            <w:gridSpan w:val="4"/>
            <w:vAlign w:val="center"/>
          </w:tcPr>
          <w:p>
            <w:pPr>
              <w:snapToGrid w:val="0"/>
              <w:spacing w:line="240" w:lineRule="auto"/>
              <w:ind w:firstLine="0" w:firstLineChars="0"/>
              <w:jc w:val="center"/>
              <w:rPr>
                <w:rFonts w:cs="Times New Roman"/>
                <w:sz w:val="21"/>
                <w:szCs w:val="21"/>
              </w:rPr>
            </w:pPr>
          </w:p>
        </w:tc>
      </w:tr>
    </w:tbl>
    <w:p>
      <w:pPr>
        <w:ind w:firstLine="0" w:firstLineChars="0"/>
      </w:pPr>
    </w:p>
    <w:p>
      <w:pPr>
        <w:widowControl/>
        <w:spacing w:line="240" w:lineRule="auto"/>
        <w:ind w:firstLine="0" w:firstLineChars="0"/>
        <w:jc w:val="left"/>
      </w:pPr>
      <w:r>
        <w:br w:type="page"/>
      </w:r>
    </w:p>
    <w:tbl>
      <w:tblPr>
        <w:tblStyle w:val="23"/>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1385"/>
        <w:gridCol w:w="900"/>
        <w:gridCol w:w="902"/>
        <w:gridCol w:w="1068"/>
        <w:gridCol w:w="2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6" w:type="dxa"/>
            <w:gridSpan w:val="6"/>
            <w:tcBorders>
              <w:top w:val="nil"/>
              <w:left w:val="nil"/>
              <w:right w:val="nil"/>
            </w:tcBorders>
            <w:vAlign w:val="center"/>
          </w:tcPr>
          <w:p>
            <w:pPr>
              <w:pStyle w:val="38"/>
            </w:pPr>
            <w:r>
              <w:t>表B.</w:t>
            </w:r>
            <w:r>
              <w:fldChar w:fldCharType="begin"/>
            </w:r>
            <w:r>
              <w:instrText xml:space="preserve"> SEQ 附录表B \* ARABIC </w:instrText>
            </w:r>
            <w:r>
              <w:fldChar w:fldCharType="separate"/>
            </w:r>
            <w:r>
              <w:t>2</w:t>
            </w:r>
            <w:r>
              <w:fldChar w:fldCharType="end"/>
            </w:r>
            <w:r>
              <w:rPr>
                <w:rFonts w:hint="eastAsia"/>
              </w:rPr>
              <w:t>采集设备日常检查记录表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tcBorders>
              <w:top w:val="single" w:color="auto" w:sz="4" w:space="0"/>
            </w:tcBorders>
            <w:vAlign w:val="center"/>
          </w:tcPr>
          <w:p>
            <w:pPr>
              <w:snapToGrid w:val="0"/>
              <w:spacing w:line="240" w:lineRule="auto"/>
              <w:ind w:firstLine="0" w:firstLineChars="0"/>
              <w:jc w:val="center"/>
              <w:rPr>
                <w:rFonts w:cs="Times New Roman"/>
                <w:sz w:val="21"/>
                <w:szCs w:val="21"/>
              </w:rPr>
            </w:pPr>
            <w:r>
              <w:rPr>
                <w:rFonts w:hint="eastAsia" w:cs="Times New Roman"/>
                <w:sz w:val="21"/>
                <w:szCs w:val="21"/>
              </w:rPr>
              <w:t>项目名称</w:t>
            </w:r>
          </w:p>
        </w:tc>
        <w:tc>
          <w:tcPr>
            <w:tcW w:w="7248" w:type="dxa"/>
            <w:gridSpan w:val="5"/>
            <w:tcBorders>
              <w:top w:val="single" w:color="auto" w:sz="4" w:space="0"/>
            </w:tcBorders>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58" w:type="dxa"/>
            <w:vMerge w:val="restart"/>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检查周期</w:t>
            </w:r>
          </w:p>
        </w:tc>
        <w:tc>
          <w:tcPr>
            <w:tcW w:w="1385" w:type="dxa"/>
            <w:vMerge w:val="restart"/>
            <w:vAlign w:val="center"/>
          </w:tcPr>
          <w:p>
            <w:pPr>
              <w:snapToGrid w:val="0"/>
              <w:spacing w:line="240" w:lineRule="auto"/>
              <w:ind w:firstLine="0" w:firstLineChars="0"/>
              <w:jc w:val="center"/>
              <w:rPr>
                <w:rFonts w:cs="Times New Roman"/>
                <w:sz w:val="21"/>
                <w:szCs w:val="21"/>
              </w:rPr>
            </w:pPr>
          </w:p>
        </w:tc>
        <w:tc>
          <w:tcPr>
            <w:tcW w:w="90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操作者</w:t>
            </w:r>
          </w:p>
        </w:tc>
        <w:tc>
          <w:tcPr>
            <w:tcW w:w="902" w:type="dxa"/>
            <w:vAlign w:val="center"/>
          </w:tcPr>
          <w:p>
            <w:pPr>
              <w:snapToGrid w:val="0"/>
              <w:spacing w:line="240" w:lineRule="auto"/>
              <w:ind w:firstLine="0" w:firstLineChars="0"/>
              <w:jc w:val="center"/>
              <w:rPr>
                <w:rFonts w:cs="Times New Roman"/>
                <w:sz w:val="21"/>
                <w:szCs w:val="21"/>
              </w:rPr>
            </w:pPr>
          </w:p>
        </w:tc>
        <w:tc>
          <w:tcPr>
            <w:tcW w:w="1068" w:type="dxa"/>
            <w:vMerge w:val="restart"/>
            <w:vAlign w:val="center"/>
          </w:tcPr>
          <w:p>
            <w:pPr>
              <w:snapToGrid w:val="0"/>
              <w:spacing w:line="240" w:lineRule="auto"/>
              <w:ind w:firstLine="0" w:firstLineChars="0"/>
              <w:jc w:val="center"/>
              <w:rPr>
                <w:rFonts w:cs="Times New Roman"/>
                <w:sz w:val="21"/>
                <w:szCs w:val="21"/>
              </w:rPr>
            </w:pPr>
            <w:r>
              <w:rPr>
                <w:rFonts w:hint="eastAsia" w:cs="Times New Roman"/>
                <w:sz w:val="21"/>
                <w:szCs w:val="21"/>
              </w:rPr>
              <w:t>起止时间</w:t>
            </w:r>
          </w:p>
        </w:tc>
        <w:tc>
          <w:tcPr>
            <w:tcW w:w="2993" w:type="dxa"/>
            <w:vMerge w:val="restart"/>
            <w:vAlign w:val="center"/>
          </w:tcPr>
          <w:p>
            <w:pPr>
              <w:snapToGrid w:val="0"/>
              <w:spacing w:line="240" w:lineRule="auto"/>
              <w:ind w:firstLine="0" w:firstLineChars="0"/>
              <w:jc w:val="center"/>
              <w:rPr>
                <w:rFonts w:cs="Times New Roman"/>
                <w:kern w:val="0"/>
                <w:sz w:val="21"/>
                <w:szCs w:val="21"/>
              </w:rPr>
            </w:pPr>
            <w:r>
              <w:rPr>
                <w:rFonts w:hint="eastAsia" w:cs="Times New Roman"/>
                <w:kern w:val="0"/>
                <w:sz w:val="21"/>
                <w:szCs w:val="21"/>
              </w:rPr>
              <w:t>起：</w:t>
            </w:r>
            <w:r>
              <w:rPr>
                <w:rFonts w:cs="Times New Roman"/>
                <w:kern w:val="0"/>
                <w:sz w:val="21"/>
                <w:szCs w:val="21"/>
              </w:rPr>
              <w:t>____</w:t>
            </w:r>
            <w:r>
              <w:rPr>
                <w:rFonts w:hint="eastAsia" w:cs="Times New Roman"/>
                <w:kern w:val="0"/>
                <w:sz w:val="21"/>
                <w:szCs w:val="21"/>
              </w:rPr>
              <w:t>年</w:t>
            </w:r>
            <w:r>
              <w:rPr>
                <w:rFonts w:cs="Times New Roman"/>
                <w:kern w:val="0"/>
                <w:sz w:val="21"/>
                <w:szCs w:val="21"/>
              </w:rPr>
              <w:t>__</w:t>
            </w:r>
            <w:r>
              <w:rPr>
                <w:rFonts w:hint="eastAsia" w:cs="Times New Roman"/>
                <w:kern w:val="0"/>
                <w:sz w:val="21"/>
                <w:szCs w:val="21"/>
              </w:rPr>
              <w:t>月</w:t>
            </w:r>
            <w:r>
              <w:rPr>
                <w:rFonts w:cs="Times New Roman"/>
                <w:kern w:val="0"/>
                <w:sz w:val="21"/>
                <w:szCs w:val="21"/>
              </w:rPr>
              <w:t>__</w:t>
            </w:r>
            <w:r>
              <w:rPr>
                <w:rFonts w:hint="eastAsia" w:cs="Times New Roman"/>
                <w:kern w:val="0"/>
                <w:sz w:val="21"/>
                <w:szCs w:val="21"/>
              </w:rPr>
              <w:t>日</w:t>
            </w:r>
            <w:r>
              <w:rPr>
                <w:rFonts w:cs="Times New Roman"/>
                <w:kern w:val="0"/>
                <w:sz w:val="21"/>
                <w:szCs w:val="21"/>
              </w:rPr>
              <w:t>__</w:t>
            </w:r>
            <w:r>
              <w:rPr>
                <w:rFonts w:hint="eastAsia" w:cs="Times New Roman"/>
                <w:kern w:val="0"/>
                <w:sz w:val="21"/>
                <w:szCs w:val="21"/>
              </w:rPr>
              <w:t>时</w:t>
            </w:r>
            <w:r>
              <w:rPr>
                <w:rFonts w:cs="Times New Roman"/>
                <w:kern w:val="0"/>
                <w:sz w:val="21"/>
                <w:szCs w:val="21"/>
              </w:rPr>
              <w:t>__</w:t>
            </w:r>
            <w:r>
              <w:rPr>
                <w:rFonts w:hint="eastAsia" w:cs="Times New Roman"/>
                <w:kern w:val="0"/>
                <w:sz w:val="21"/>
                <w:szCs w:val="21"/>
              </w:rPr>
              <w:t>分</w:t>
            </w:r>
          </w:p>
          <w:p>
            <w:pPr>
              <w:snapToGrid w:val="0"/>
              <w:spacing w:line="240" w:lineRule="auto"/>
              <w:ind w:firstLine="0" w:firstLineChars="0"/>
              <w:jc w:val="center"/>
              <w:rPr>
                <w:rFonts w:cs="Times New Roman"/>
                <w:sz w:val="21"/>
                <w:szCs w:val="21"/>
              </w:rPr>
            </w:pPr>
            <w:r>
              <w:rPr>
                <w:rFonts w:hint="eastAsia" w:cs="Times New Roman"/>
                <w:kern w:val="0"/>
                <w:sz w:val="21"/>
                <w:szCs w:val="21"/>
              </w:rPr>
              <w:t>止：</w:t>
            </w:r>
            <w:r>
              <w:rPr>
                <w:rFonts w:cs="Times New Roman"/>
                <w:kern w:val="0"/>
                <w:sz w:val="21"/>
                <w:szCs w:val="21"/>
              </w:rPr>
              <w:t>____</w:t>
            </w:r>
            <w:r>
              <w:rPr>
                <w:rFonts w:hint="eastAsia" w:cs="Times New Roman"/>
                <w:kern w:val="0"/>
                <w:sz w:val="21"/>
                <w:szCs w:val="21"/>
              </w:rPr>
              <w:t>年</w:t>
            </w:r>
            <w:r>
              <w:rPr>
                <w:rFonts w:cs="Times New Roman"/>
                <w:kern w:val="0"/>
                <w:sz w:val="21"/>
                <w:szCs w:val="21"/>
              </w:rPr>
              <w:t>__</w:t>
            </w:r>
            <w:r>
              <w:rPr>
                <w:rFonts w:hint="eastAsia" w:cs="Times New Roman"/>
                <w:kern w:val="0"/>
                <w:sz w:val="21"/>
                <w:szCs w:val="21"/>
              </w:rPr>
              <w:t>月</w:t>
            </w:r>
            <w:r>
              <w:rPr>
                <w:rFonts w:cs="Times New Roman"/>
                <w:kern w:val="0"/>
                <w:sz w:val="21"/>
                <w:szCs w:val="21"/>
              </w:rPr>
              <w:t>__</w:t>
            </w:r>
            <w:r>
              <w:rPr>
                <w:rFonts w:hint="eastAsia" w:cs="Times New Roman"/>
                <w:kern w:val="0"/>
                <w:sz w:val="21"/>
                <w:szCs w:val="21"/>
              </w:rPr>
              <w:t>日</w:t>
            </w:r>
            <w:r>
              <w:rPr>
                <w:rFonts w:cs="Times New Roman"/>
                <w:kern w:val="0"/>
                <w:sz w:val="21"/>
                <w:szCs w:val="21"/>
              </w:rPr>
              <w:t>__</w:t>
            </w:r>
            <w:r>
              <w:rPr>
                <w:rFonts w:hint="eastAsia" w:cs="Times New Roman"/>
                <w:kern w:val="0"/>
                <w:sz w:val="21"/>
                <w:szCs w:val="21"/>
              </w:rPr>
              <w:t>时</w:t>
            </w:r>
            <w:r>
              <w:rPr>
                <w:rFonts w:cs="Times New Roman"/>
                <w:kern w:val="0"/>
                <w:sz w:val="21"/>
                <w:szCs w:val="21"/>
              </w:rPr>
              <w:t>__</w:t>
            </w:r>
            <w:r>
              <w:rPr>
                <w:rFonts w:hint="eastAsia" w:cs="Times New Roman"/>
                <w:kern w:val="0"/>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058" w:type="dxa"/>
            <w:vMerge w:val="continue"/>
            <w:vAlign w:val="center"/>
          </w:tcPr>
          <w:p>
            <w:pPr>
              <w:snapToGrid w:val="0"/>
              <w:spacing w:line="240" w:lineRule="auto"/>
              <w:ind w:firstLine="0" w:firstLineChars="0"/>
              <w:jc w:val="center"/>
              <w:rPr>
                <w:rFonts w:cs="Times New Roman"/>
                <w:sz w:val="21"/>
                <w:szCs w:val="21"/>
              </w:rPr>
            </w:pPr>
          </w:p>
        </w:tc>
        <w:tc>
          <w:tcPr>
            <w:tcW w:w="1385" w:type="dxa"/>
            <w:vMerge w:val="continue"/>
            <w:vAlign w:val="center"/>
          </w:tcPr>
          <w:p>
            <w:pPr>
              <w:snapToGrid w:val="0"/>
              <w:spacing w:line="240" w:lineRule="auto"/>
              <w:ind w:firstLine="0" w:firstLineChars="0"/>
              <w:jc w:val="center"/>
              <w:rPr>
                <w:rFonts w:cs="Times New Roman"/>
                <w:sz w:val="21"/>
                <w:szCs w:val="21"/>
              </w:rPr>
            </w:pPr>
          </w:p>
        </w:tc>
        <w:tc>
          <w:tcPr>
            <w:tcW w:w="90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复核者</w:t>
            </w:r>
          </w:p>
        </w:tc>
        <w:tc>
          <w:tcPr>
            <w:tcW w:w="902" w:type="dxa"/>
            <w:vAlign w:val="center"/>
          </w:tcPr>
          <w:p>
            <w:pPr>
              <w:snapToGrid w:val="0"/>
              <w:spacing w:line="240" w:lineRule="auto"/>
              <w:ind w:firstLine="0" w:firstLineChars="0"/>
              <w:jc w:val="center"/>
              <w:rPr>
                <w:rFonts w:cs="Times New Roman"/>
                <w:sz w:val="21"/>
                <w:szCs w:val="21"/>
              </w:rPr>
            </w:pPr>
          </w:p>
        </w:tc>
        <w:tc>
          <w:tcPr>
            <w:tcW w:w="1068" w:type="dxa"/>
            <w:vMerge w:val="continue"/>
            <w:vAlign w:val="center"/>
          </w:tcPr>
          <w:p>
            <w:pPr>
              <w:snapToGrid w:val="0"/>
              <w:spacing w:line="240" w:lineRule="auto"/>
              <w:ind w:firstLine="0" w:firstLineChars="0"/>
              <w:jc w:val="center"/>
              <w:rPr>
                <w:rFonts w:cs="Times New Roman"/>
                <w:sz w:val="21"/>
                <w:szCs w:val="21"/>
              </w:rPr>
            </w:pPr>
          </w:p>
        </w:tc>
        <w:tc>
          <w:tcPr>
            <w:tcW w:w="2993" w:type="dxa"/>
            <w:vMerge w:val="continue"/>
            <w:vAlign w:val="center"/>
          </w:tcPr>
          <w:p>
            <w:pPr>
              <w:snapToGrid w:val="0"/>
              <w:spacing w:line="240" w:lineRule="auto"/>
              <w:ind w:firstLine="0" w:firstLineChars="0"/>
              <w:jc w:val="center"/>
              <w:rPr>
                <w:rFonts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3" w:type="dxa"/>
            <w:gridSpan w:val="2"/>
            <w:vAlign w:val="center"/>
          </w:tcPr>
          <w:p>
            <w:pPr>
              <w:snapToGrid w:val="0"/>
              <w:spacing w:line="240" w:lineRule="auto"/>
              <w:ind w:firstLine="0" w:firstLineChars="0"/>
              <w:jc w:val="center"/>
              <w:rPr>
                <w:rFonts w:cs="Times New Roman"/>
                <w:b/>
                <w:sz w:val="21"/>
                <w:szCs w:val="21"/>
              </w:rPr>
            </w:pPr>
            <w:r>
              <w:rPr>
                <w:rFonts w:hint="eastAsia" w:cs="Times New Roman"/>
                <w:b/>
                <w:sz w:val="21"/>
                <w:szCs w:val="21"/>
              </w:rPr>
              <w:t>检查项目</w:t>
            </w:r>
          </w:p>
        </w:tc>
        <w:tc>
          <w:tcPr>
            <w:tcW w:w="1802" w:type="dxa"/>
            <w:gridSpan w:val="2"/>
            <w:vAlign w:val="center"/>
          </w:tcPr>
          <w:p>
            <w:pPr>
              <w:snapToGrid w:val="0"/>
              <w:spacing w:line="240" w:lineRule="auto"/>
              <w:ind w:firstLine="0" w:firstLineChars="0"/>
              <w:jc w:val="center"/>
              <w:rPr>
                <w:rFonts w:cs="Times New Roman"/>
                <w:b/>
                <w:sz w:val="21"/>
                <w:szCs w:val="21"/>
              </w:rPr>
            </w:pPr>
            <w:r>
              <w:rPr>
                <w:rFonts w:hint="eastAsia" w:cs="Times New Roman"/>
                <w:b/>
                <w:sz w:val="21"/>
                <w:szCs w:val="21"/>
              </w:rPr>
              <w:t>结论</w:t>
            </w:r>
          </w:p>
        </w:tc>
        <w:tc>
          <w:tcPr>
            <w:tcW w:w="1068" w:type="dxa"/>
            <w:vAlign w:val="center"/>
          </w:tcPr>
          <w:p>
            <w:pPr>
              <w:snapToGrid w:val="0"/>
              <w:spacing w:line="240" w:lineRule="auto"/>
              <w:ind w:firstLine="0" w:firstLineChars="0"/>
              <w:jc w:val="center"/>
              <w:rPr>
                <w:rFonts w:cs="Times New Roman"/>
                <w:b/>
                <w:sz w:val="21"/>
                <w:szCs w:val="21"/>
              </w:rPr>
            </w:pPr>
            <w:r>
              <w:rPr>
                <w:rFonts w:hint="eastAsia" w:cs="Times New Roman"/>
                <w:b/>
                <w:sz w:val="21"/>
                <w:szCs w:val="21"/>
              </w:rPr>
              <w:t>设备编号</w:t>
            </w:r>
          </w:p>
        </w:tc>
        <w:tc>
          <w:tcPr>
            <w:tcW w:w="2993" w:type="dxa"/>
            <w:vAlign w:val="center"/>
          </w:tcPr>
          <w:p>
            <w:pPr>
              <w:snapToGrid w:val="0"/>
              <w:spacing w:line="240" w:lineRule="auto"/>
              <w:ind w:firstLine="0" w:firstLineChars="0"/>
              <w:jc w:val="center"/>
              <w:rPr>
                <w:rFonts w:cs="Times New Roman"/>
                <w:b/>
                <w:sz w:val="21"/>
                <w:szCs w:val="21"/>
              </w:rPr>
            </w:pPr>
            <w:r>
              <w:rPr>
                <w:rFonts w:hint="eastAsia" w:cs="Times New Roman"/>
                <w:b/>
                <w:sz w:val="21"/>
                <w:szCs w:val="21"/>
              </w:rPr>
              <w:t>存在问题及维护情况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设备清洁情况</w:t>
            </w:r>
          </w:p>
        </w:tc>
        <w:tc>
          <w:tcPr>
            <w:tcW w:w="1802"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068" w:type="dxa"/>
            <w:vAlign w:val="center"/>
          </w:tcPr>
          <w:p>
            <w:pPr>
              <w:snapToGrid w:val="0"/>
              <w:spacing w:line="240" w:lineRule="auto"/>
              <w:ind w:firstLine="0" w:firstLineChars="0"/>
              <w:jc w:val="center"/>
              <w:rPr>
                <w:rFonts w:cs="Times New Roman"/>
                <w:sz w:val="21"/>
                <w:szCs w:val="21"/>
              </w:rPr>
            </w:pPr>
          </w:p>
        </w:tc>
        <w:tc>
          <w:tcPr>
            <w:tcW w:w="2993"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设备破损情况</w:t>
            </w:r>
          </w:p>
        </w:tc>
        <w:tc>
          <w:tcPr>
            <w:tcW w:w="1802"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068" w:type="dxa"/>
            <w:vAlign w:val="center"/>
          </w:tcPr>
          <w:p>
            <w:pPr>
              <w:snapToGrid w:val="0"/>
              <w:spacing w:line="240" w:lineRule="auto"/>
              <w:ind w:firstLine="0" w:firstLineChars="0"/>
              <w:jc w:val="center"/>
              <w:rPr>
                <w:rFonts w:cs="Times New Roman"/>
                <w:sz w:val="21"/>
                <w:szCs w:val="21"/>
              </w:rPr>
            </w:pPr>
          </w:p>
        </w:tc>
        <w:tc>
          <w:tcPr>
            <w:tcW w:w="2993"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设备锈蚀情况</w:t>
            </w:r>
          </w:p>
        </w:tc>
        <w:tc>
          <w:tcPr>
            <w:tcW w:w="1802"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068" w:type="dxa"/>
            <w:vAlign w:val="center"/>
          </w:tcPr>
          <w:p>
            <w:pPr>
              <w:snapToGrid w:val="0"/>
              <w:spacing w:line="240" w:lineRule="auto"/>
              <w:ind w:firstLine="0" w:firstLineChars="0"/>
              <w:jc w:val="center"/>
              <w:rPr>
                <w:rFonts w:cs="Times New Roman"/>
                <w:sz w:val="21"/>
                <w:szCs w:val="21"/>
              </w:rPr>
            </w:pPr>
          </w:p>
        </w:tc>
        <w:tc>
          <w:tcPr>
            <w:tcW w:w="2993"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设备积水情况</w:t>
            </w:r>
          </w:p>
        </w:tc>
        <w:tc>
          <w:tcPr>
            <w:tcW w:w="1802"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068" w:type="dxa"/>
            <w:vAlign w:val="center"/>
          </w:tcPr>
          <w:p>
            <w:pPr>
              <w:snapToGrid w:val="0"/>
              <w:spacing w:line="240" w:lineRule="auto"/>
              <w:ind w:firstLine="0" w:firstLineChars="0"/>
              <w:jc w:val="center"/>
              <w:rPr>
                <w:rFonts w:cs="Times New Roman"/>
                <w:sz w:val="21"/>
                <w:szCs w:val="21"/>
              </w:rPr>
            </w:pPr>
          </w:p>
        </w:tc>
        <w:tc>
          <w:tcPr>
            <w:tcW w:w="2993"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设备连接线情况</w:t>
            </w:r>
          </w:p>
        </w:tc>
        <w:tc>
          <w:tcPr>
            <w:tcW w:w="1802"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068" w:type="dxa"/>
            <w:vAlign w:val="center"/>
          </w:tcPr>
          <w:p>
            <w:pPr>
              <w:snapToGrid w:val="0"/>
              <w:spacing w:line="240" w:lineRule="auto"/>
              <w:ind w:firstLine="0" w:firstLineChars="0"/>
              <w:jc w:val="center"/>
              <w:rPr>
                <w:rFonts w:cs="Times New Roman"/>
                <w:sz w:val="21"/>
                <w:szCs w:val="21"/>
              </w:rPr>
            </w:pPr>
          </w:p>
        </w:tc>
        <w:tc>
          <w:tcPr>
            <w:tcW w:w="2993"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设备之间的连接情况</w:t>
            </w:r>
          </w:p>
        </w:tc>
        <w:tc>
          <w:tcPr>
            <w:tcW w:w="1802"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068" w:type="dxa"/>
            <w:vAlign w:val="center"/>
          </w:tcPr>
          <w:p>
            <w:pPr>
              <w:snapToGrid w:val="0"/>
              <w:spacing w:line="240" w:lineRule="auto"/>
              <w:ind w:firstLine="0" w:firstLineChars="0"/>
              <w:jc w:val="center"/>
              <w:rPr>
                <w:rFonts w:cs="Times New Roman"/>
                <w:sz w:val="21"/>
                <w:szCs w:val="21"/>
              </w:rPr>
            </w:pPr>
          </w:p>
        </w:tc>
        <w:tc>
          <w:tcPr>
            <w:tcW w:w="2993"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设备过热情况</w:t>
            </w:r>
          </w:p>
        </w:tc>
        <w:tc>
          <w:tcPr>
            <w:tcW w:w="1802"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068" w:type="dxa"/>
            <w:vAlign w:val="center"/>
          </w:tcPr>
          <w:p>
            <w:pPr>
              <w:snapToGrid w:val="0"/>
              <w:spacing w:line="240" w:lineRule="auto"/>
              <w:ind w:firstLine="0" w:firstLineChars="0"/>
              <w:jc w:val="center"/>
              <w:rPr>
                <w:rFonts w:cs="Times New Roman"/>
                <w:sz w:val="21"/>
                <w:szCs w:val="21"/>
              </w:rPr>
            </w:pPr>
          </w:p>
        </w:tc>
        <w:tc>
          <w:tcPr>
            <w:tcW w:w="2993"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设备振动情况</w:t>
            </w:r>
          </w:p>
        </w:tc>
        <w:tc>
          <w:tcPr>
            <w:tcW w:w="1802"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068" w:type="dxa"/>
            <w:vAlign w:val="center"/>
          </w:tcPr>
          <w:p>
            <w:pPr>
              <w:snapToGrid w:val="0"/>
              <w:spacing w:line="240" w:lineRule="auto"/>
              <w:ind w:firstLine="0" w:firstLineChars="0"/>
              <w:jc w:val="center"/>
              <w:rPr>
                <w:rFonts w:cs="Times New Roman"/>
                <w:sz w:val="21"/>
                <w:szCs w:val="21"/>
              </w:rPr>
            </w:pPr>
          </w:p>
        </w:tc>
        <w:tc>
          <w:tcPr>
            <w:tcW w:w="2993"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设备老化情况</w:t>
            </w:r>
          </w:p>
        </w:tc>
        <w:tc>
          <w:tcPr>
            <w:tcW w:w="1802"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068" w:type="dxa"/>
            <w:vAlign w:val="center"/>
          </w:tcPr>
          <w:p>
            <w:pPr>
              <w:snapToGrid w:val="0"/>
              <w:spacing w:line="240" w:lineRule="auto"/>
              <w:ind w:firstLine="0" w:firstLineChars="0"/>
              <w:jc w:val="center"/>
              <w:rPr>
                <w:rFonts w:cs="Times New Roman"/>
                <w:sz w:val="21"/>
                <w:szCs w:val="21"/>
              </w:rPr>
            </w:pPr>
          </w:p>
        </w:tc>
        <w:tc>
          <w:tcPr>
            <w:tcW w:w="2993"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44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外接电源情况</w:t>
            </w:r>
          </w:p>
        </w:tc>
        <w:tc>
          <w:tcPr>
            <w:tcW w:w="1802"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068" w:type="dxa"/>
            <w:vAlign w:val="center"/>
          </w:tcPr>
          <w:p>
            <w:pPr>
              <w:snapToGrid w:val="0"/>
              <w:spacing w:line="240" w:lineRule="auto"/>
              <w:ind w:firstLine="0" w:firstLineChars="0"/>
              <w:jc w:val="center"/>
              <w:rPr>
                <w:rFonts w:cs="Times New Roman"/>
                <w:sz w:val="21"/>
                <w:szCs w:val="21"/>
              </w:rPr>
            </w:pPr>
          </w:p>
        </w:tc>
        <w:tc>
          <w:tcPr>
            <w:tcW w:w="2993"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设备的接地情况</w:t>
            </w:r>
          </w:p>
        </w:tc>
        <w:tc>
          <w:tcPr>
            <w:tcW w:w="1802"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068" w:type="dxa"/>
            <w:vAlign w:val="center"/>
          </w:tcPr>
          <w:p>
            <w:pPr>
              <w:snapToGrid w:val="0"/>
              <w:spacing w:line="240" w:lineRule="auto"/>
              <w:ind w:firstLine="0" w:firstLineChars="0"/>
              <w:jc w:val="center"/>
              <w:rPr>
                <w:rFonts w:cs="Times New Roman"/>
                <w:sz w:val="21"/>
                <w:szCs w:val="21"/>
              </w:rPr>
            </w:pPr>
          </w:p>
        </w:tc>
        <w:tc>
          <w:tcPr>
            <w:tcW w:w="2993"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设备标签情况</w:t>
            </w:r>
          </w:p>
        </w:tc>
        <w:tc>
          <w:tcPr>
            <w:tcW w:w="1802"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068" w:type="dxa"/>
            <w:vAlign w:val="center"/>
          </w:tcPr>
          <w:p>
            <w:pPr>
              <w:snapToGrid w:val="0"/>
              <w:spacing w:line="240" w:lineRule="auto"/>
              <w:ind w:firstLine="0" w:firstLineChars="0"/>
              <w:jc w:val="center"/>
              <w:rPr>
                <w:rFonts w:cs="Times New Roman"/>
                <w:sz w:val="21"/>
                <w:szCs w:val="21"/>
              </w:rPr>
            </w:pPr>
          </w:p>
        </w:tc>
        <w:tc>
          <w:tcPr>
            <w:tcW w:w="2993"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保护装置情况</w:t>
            </w:r>
          </w:p>
        </w:tc>
        <w:tc>
          <w:tcPr>
            <w:tcW w:w="1802"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068" w:type="dxa"/>
            <w:vAlign w:val="center"/>
          </w:tcPr>
          <w:p>
            <w:pPr>
              <w:snapToGrid w:val="0"/>
              <w:spacing w:line="240" w:lineRule="auto"/>
              <w:ind w:firstLine="0" w:firstLineChars="0"/>
              <w:jc w:val="center"/>
              <w:rPr>
                <w:rFonts w:cs="Times New Roman"/>
                <w:sz w:val="21"/>
                <w:szCs w:val="21"/>
              </w:rPr>
            </w:pPr>
          </w:p>
        </w:tc>
        <w:tc>
          <w:tcPr>
            <w:tcW w:w="2993"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数据采集设备的测量性能情况</w:t>
            </w:r>
          </w:p>
        </w:tc>
        <w:tc>
          <w:tcPr>
            <w:tcW w:w="1802"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068" w:type="dxa"/>
            <w:vAlign w:val="center"/>
          </w:tcPr>
          <w:p>
            <w:pPr>
              <w:snapToGrid w:val="0"/>
              <w:spacing w:line="240" w:lineRule="auto"/>
              <w:ind w:firstLine="0" w:firstLineChars="0"/>
              <w:jc w:val="center"/>
              <w:rPr>
                <w:rFonts w:cs="Times New Roman"/>
                <w:sz w:val="21"/>
                <w:szCs w:val="21"/>
              </w:rPr>
            </w:pPr>
          </w:p>
        </w:tc>
        <w:tc>
          <w:tcPr>
            <w:tcW w:w="2993"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服务器是否正常运行</w:t>
            </w:r>
          </w:p>
        </w:tc>
        <w:tc>
          <w:tcPr>
            <w:tcW w:w="1802"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068" w:type="dxa"/>
            <w:vAlign w:val="center"/>
          </w:tcPr>
          <w:p>
            <w:pPr>
              <w:snapToGrid w:val="0"/>
              <w:spacing w:line="240" w:lineRule="auto"/>
              <w:ind w:firstLine="0" w:firstLineChars="0"/>
              <w:jc w:val="center"/>
              <w:rPr>
                <w:rFonts w:cs="Times New Roman"/>
                <w:sz w:val="21"/>
                <w:szCs w:val="21"/>
              </w:rPr>
            </w:pPr>
          </w:p>
        </w:tc>
        <w:tc>
          <w:tcPr>
            <w:tcW w:w="2993"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数据采集设备的电源工作情况</w:t>
            </w:r>
          </w:p>
        </w:tc>
        <w:tc>
          <w:tcPr>
            <w:tcW w:w="1802"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068" w:type="dxa"/>
            <w:vAlign w:val="center"/>
          </w:tcPr>
          <w:p>
            <w:pPr>
              <w:snapToGrid w:val="0"/>
              <w:spacing w:line="240" w:lineRule="auto"/>
              <w:ind w:firstLine="0" w:firstLineChars="0"/>
              <w:jc w:val="center"/>
              <w:rPr>
                <w:rFonts w:cs="Times New Roman"/>
                <w:sz w:val="21"/>
                <w:szCs w:val="21"/>
              </w:rPr>
            </w:pPr>
          </w:p>
        </w:tc>
        <w:tc>
          <w:tcPr>
            <w:tcW w:w="2993"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数据传输设备的通讯和工作性能情况</w:t>
            </w:r>
          </w:p>
        </w:tc>
        <w:tc>
          <w:tcPr>
            <w:tcW w:w="1802"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068" w:type="dxa"/>
            <w:vAlign w:val="center"/>
          </w:tcPr>
          <w:p>
            <w:pPr>
              <w:snapToGrid w:val="0"/>
              <w:spacing w:line="240" w:lineRule="auto"/>
              <w:ind w:firstLine="0" w:firstLineChars="0"/>
              <w:jc w:val="center"/>
              <w:rPr>
                <w:rFonts w:cs="Times New Roman"/>
                <w:sz w:val="21"/>
                <w:szCs w:val="21"/>
              </w:rPr>
            </w:pPr>
          </w:p>
        </w:tc>
        <w:tc>
          <w:tcPr>
            <w:tcW w:w="2993"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数据存储设备的磁盘工作情况</w:t>
            </w:r>
          </w:p>
        </w:tc>
        <w:tc>
          <w:tcPr>
            <w:tcW w:w="1802"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068" w:type="dxa"/>
            <w:vAlign w:val="center"/>
          </w:tcPr>
          <w:p>
            <w:pPr>
              <w:snapToGrid w:val="0"/>
              <w:spacing w:line="240" w:lineRule="auto"/>
              <w:ind w:firstLine="0" w:firstLineChars="0"/>
              <w:jc w:val="center"/>
              <w:rPr>
                <w:rFonts w:cs="Times New Roman"/>
                <w:sz w:val="21"/>
                <w:szCs w:val="21"/>
              </w:rPr>
            </w:pPr>
          </w:p>
        </w:tc>
        <w:tc>
          <w:tcPr>
            <w:tcW w:w="2993"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数据存储设备的电源工作情况</w:t>
            </w:r>
          </w:p>
        </w:tc>
        <w:tc>
          <w:tcPr>
            <w:tcW w:w="1802"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068" w:type="dxa"/>
            <w:vAlign w:val="center"/>
          </w:tcPr>
          <w:p>
            <w:pPr>
              <w:snapToGrid w:val="0"/>
              <w:spacing w:line="240" w:lineRule="auto"/>
              <w:ind w:firstLine="0" w:firstLineChars="0"/>
              <w:jc w:val="center"/>
              <w:rPr>
                <w:rFonts w:cs="Times New Roman"/>
                <w:sz w:val="21"/>
                <w:szCs w:val="21"/>
              </w:rPr>
            </w:pPr>
          </w:p>
        </w:tc>
        <w:tc>
          <w:tcPr>
            <w:tcW w:w="2993"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数据显示设备的显示和按键工作情况</w:t>
            </w:r>
          </w:p>
        </w:tc>
        <w:tc>
          <w:tcPr>
            <w:tcW w:w="1802"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068" w:type="dxa"/>
            <w:vAlign w:val="center"/>
          </w:tcPr>
          <w:p>
            <w:pPr>
              <w:snapToGrid w:val="0"/>
              <w:spacing w:line="240" w:lineRule="auto"/>
              <w:ind w:firstLine="0" w:firstLineChars="0"/>
              <w:jc w:val="center"/>
              <w:rPr>
                <w:rFonts w:cs="Times New Roman"/>
                <w:sz w:val="21"/>
                <w:szCs w:val="21"/>
              </w:rPr>
            </w:pPr>
          </w:p>
        </w:tc>
        <w:tc>
          <w:tcPr>
            <w:tcW w:w="2993"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其他情况</w:t>
            </w:r>
          </w:p>
        </w:tc>
        <w:tc>
          <w:tcPr>
            <w:tcW w:w="5863" w:type="dxa"/>
            <w:gridSpan w:val="4"/>
          </w:tcPr>
          <w:p>
            <w:pPr>
              <w:snapToGrid w:val="0"/>
              <w:spacing w:line="240" w:lineRule="auto"/>
              <w:ind w:firstLine="0" w:firstLineChars="0"/>
              <w:jc w:val="center"/>
              <w:rPr>
                <w:rFonts w:cs="Times New Roman"/>
                <w:sz w:val="21"/>
                <w:szCs w:val="21"/>
              </w:rPr>
            </w:pPr>
          </w:p>
        </w:tc>
      </w:tr>
    </w:tbl>
    <w:p>
      <w:pPr>
        <w:ind w:firstLine="0" w:firstLineChars="0"/>
      </w:pPr>
    </w:p>
    <w:p>
      <w:pPr>
        <w:widowControl/>
        <w:spacing w:line="240" w:lineRule="auto"/>
        <w:ind w:firstLine="0" w:firstLineChars="0"/>
        <w:jc w:val="left"/>
      </w:pPr>
      <w:r>
        <w:br w:type="page"/>
      </w:r>
    </w:p>
    <w:tbl>
      <w:tblPr>
        <w:tblStyle w:val="44"/>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1101"/>
        <w:gridCol w:w="902"/>
        <w:gridCol w:w="900"/>
        <w:gridCol w:w="1287"/>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gridSpan w:val="6"/>
            <w:tcBorders>
              <w:top w:val="nil"/>
              <w:left w:val="nil"/>
              <w:right w:val="nil"/>
            </w:tcBorders>
          </w:tcPr>
          <w:p>
            <w:pPr>
              <w:pStyle w:val="38"/>
            </w:pPr>
            <w:r>
              <w:t>表B.</w:t>
            </w:r>
            <w:r>
              <w:fldChar w:fldCharType="begin"/>
            </w:r>
            <w:r>
              <w:instrText xml:space="preserve"> SEQ 附录表B \* ARABIC </w:instrText>
            </w:r>
            <w:r>
              <w:fldChar w:fldCharType="separate"/>
            </w:r>
            <w:r>
              <w:t>3</w:t>
            </w:r>
            <w:r>
              <w:fldChar w:fldCharType="end"/>
            </w:r>
            <w:r>
              <w:rPr>
                <w:rFonts w:hint="eastAsia"/>
                <w:kern w:val="21"/>
              </w:rPr>
              <w:t>系统软件日常检查记录表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tcPr>
          <w:p>
            <w:pPr>
              <w:snapToGrid w:val="0"/>
              <w:spacing w:line="240" w:lineRule="auto"/>
              <w:ind w:firstLine="0" w:firstLineChars="0"/>
              <w:jc w:val="center"/>
              <w:rPr>
                <w:rFonts w:cs="Times New Roman"/>
                <w:sz w:val="21"/>
                <w:szCs w:val="21"/>
              </w:rPr>
            </w:pPr>
            <w:r>
              <w:rPr>
                <w:rFonts w:hint="eastAsia" w:cs="Times New Roman"/>
                <w:sz w:val="21"/>
                <w:szCs w:val="21"/>
              </w:rPr>
              <w:t>项目名称</w:t>
            </w:r>
          </w:p>
        </w:tc>
        <w:tc>
          <w:tcPr>
            <w:tcW w:w="7248" w:type="dxa"/>
            <w:gridSpan w:val="5"/>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058" w:type="dxa"/>
            <w:vMerge w:val="restart"/>
          </w:tcPr>
          <w:p>
            <w:pPr>
              <w:snapToGrid w:val="0"/>
              <w:spacing w:line="240" w:lineRule="auto"/>
              <w:ind w:firstLine="0" w:firstLineChars="0"/>
              <w:jc w:val="center"/>
              <w:rPr>
                <w:rFonts w:cs="Times New Roman"/>
                <w:sz w:val="21"/>
                <w:szCs w:val="21"/>
              </w:rPr>
            </w:pPr>
            <w:r>
              <w:rPr>
                <w:rFonts w:hint="eastAsia" w:cs="Times New Roman"/>
                <w:sz w:val="21"/>
                <w:szCs w:val="21"/>
              </w:rPr>
              <w:t>检查周期</w:t>
            </w:r>
          </w:p>
        </w:tc>
        <w:tc>
          <w:tcPr>
            <w:tcW w:w="1101" w:type="dxa"/>
            <w:vMerge w:val="restart"/>
          </w:tcPr>
          <w:p>
            <w:pPr>
              <w:snapToGrid w:val="0"/>
              <w:spacing w:line="240" w:lineRule="auto"/>
              <w:ind w:firstLine="0" w:firstLineChars="0"/>
              <w:jc w:val="center"/>
              <w:rPr>
                <w:rFonts w:cs="Times New Roman"/>
                <w:sz w:val="21"/>
                <w:szCs w:val="21"/>
              </w:rPr>
            </w:pPr>
          </w:p>
        </w:tc>
        <w:tc>
          <w:tcPr>
            <w:tcW w:w="902" w:type="dxa"/>
          </w:tcPr>
          <w:p>
            <w:pPr>
              <w:snapToGrid w:val="0"/>
              <w:spacing w:line="240" w:lineRule="auto"/>
              <w:ind w:firstLine="0" w:firstLineChars="0"/>
              <w:jc w:val="center"/>
              <w:rPr>
                <w:rFonts w:cs="Times New Roman"/>
                <w:sz w:val="21"/>
                <w:szCs w:val="21"/>
              </w:rPr>
            </w:pPr>
            <w:r>
              <w:rPr>
                <w:rFonts w:hint="eastAsia" w:cs="Times New Roman"/>
                <w:sz w:val="21"/>
                <w:szCs w:val="21"/>
              </w:rPr>
              <w:t>操作者</w:t>
            </w:r>
          </w:p>
        </w:tc>
        <w:tc>
          <w:tcPr>
            <w:tcW w:w="900" w:type="dxa"/>
          </w:tcPr>
          <w:p>
            <w:pPr>
              <w:snapToGrid w:val="0"/>
              <w:spacing w:line="240" w:lineRule="auto"/>
              <w:ind w:firstLine="0" w:firstLineChars="0"/>
              <w:jc w:val="center"/>
              <w:rPr>
                <w:rFonts w:cs="Times New Roman"/>
                <w:sz w:val="21"/>
                <w:szCs w:val="21"/>
              </w:rPr>
            </w:pPr>
          </w:p>
        </w:tc>
        <w:tc>
          <w:tcPr>
            <w:tcW w:w="1287" w:type="dxa"/>
            <w:vMerge w:val="restart"/>
          </w:tcPr>
          <w:p>
            <w:pPr>
              <w:snapToGrid w:val="0"/>
              <w:spacing w:line="240" w:lineRule="auto"/>
              <w:ind w:firstLine="0" w:firstLineChars="0"/>
              <w:jc w:val="center"/>
              <w:rPr>
                <w:rFonts w:cs="Times New Roman"/>
                <w:sz w:val="21"/>
                <w:szCs w:val="21"/>
              </w:rPr>
            </w:pPr>
            <w:r>
              <w:rPr>
                <w:rFonts w:hint="eastAsia" w:cs="Times New Roman"/>
                <w:sz w:val="21"/>
                <w:szCs w:val="21"/>
              </w:rPr>
              <w:t>起止时间</w:t>
            </w:r>
          </w:p>
        </w:tc>
        <w:tc>
          <w:tcPr>
            <w:tcW w:w="3058" w:type="dxa"/>
            <w:vMerge w:val="restart"/>
          </w:tcPr>
          <w:p>
            <w:pPr>
              <w:snapToGrid w:val="0"/>
              <w:spacing w:line="240" w:lineRule="auto"/>
              <w:ind w:firstLine="0" w:firstLineChars="0"/>
              <w:jc w:val="center"/>
              <w:rPr>
                <w:rFonts w:cs="Times New Roman"/>
                <w:sz w:val="21"/>
                <w:szCs w:val="21"/>
              </w:rPr>
            </w:pPr>
            <w:r>
              <w:rPr>
                <w:rFonts w:hint="eastAsia" w:cs="Times New Roman"/>
                <w:sz w:val="21"/>
                <w:szCs w:val="21"/>
              </w:rPr>
              <w:t>起：</w:t>
            </w:r>
            <w:r>
              <w:rPr>
                <w:rFonts w:cs="Times New Roman"/>
                <w:sz w:val="21"/>
                <w:szCs w:val="21"/>
              </w:rPr>
              <w:t>____</w:t>
            </w:r>
            <w:r>
              <w:rPr>
                <w:rFonts w:hint="eastAsia" w:cs="Times New Roman"/>
                <w:sz w:val="21"/>
                <w:szCs w:val="21"/>
              </w:rPr>
              <w:t>年</w:t>
            </w:r>
            <w:r>
              <w:rPr>
                <w:rFonts w:cs="Times New Roman"/>
                <w:sz w:val="21"/>
                <w:szCs w:val="21"/>
              </w:rPr>
              <w:t>__</w:t>
            </w:r>
            <w:r>
              <w:rPr>
                <w:rFonts w:hint="eastAsia" w:cs="Times New Roman"/>
                <w:sz w:val="21"/>
                <w:szCs w:val="21"/>
              </w:rPr>
              <w:t>月</w:t>
            </w:r>
            <w:r>
              <w:rPr>
                <w:rFonts w:cs="Times New Roman"/>
                <w:sz w:val="21"/>
                <w:szCs w:val="21"/>
              </w:rPr>
              <w:t>__</w:t>
            </w:r>
            <w:r>
              <w:rPr>
                <w:rFonts w:hint="eastAsia" w:cs="Times New Roman"/>
                <w:sz w:val="21"/>
                <w:szCs w:val="21"/>
              </w:rPr>
              <w:t>日</w:t>
            </w:r>
            <w:r>
              <w:rPr>
                <w:rFonts w:cs="Times New Roman"/>
                <w:sz w:val="21"/>
                <w:szCs w:val="21"/>
              </w:rPr>
              <w:t>__</w:t>
            </w:r>
            <w:r>
              <w:rPr>
                <w:rFonts w:hint="eastAsia" w:cs="Times New Roman"/>
                <w:sz w:val="21"/>
                <w:szCs w:val="21"/>
              </w:rPr>
              <w:t>时</w:t>
            </w:r>
            <w:r>
              <w:rPr>
                <w:rFonts w:cs="Times New Roman"/>
                <w:sz w:val="21"/>
                <w:szCs w:val="21"/>
              </w:rPr>
              <w:t>__</w:t>
            </w:r>
            <w:r>
              <w:rPr>
                <w:rFonts w:hint="eastAsia" w:cs="Times New Roman"/>
                <w:sz w:val="21"/>
                <w:szCs w:val="21"/>
              </w:rPr>
              <w:t>分</w:t>
            </w:r>
          </w:p>
          <w:p>
            <w:pPr>
              <w:snapToGrid w:val="0"/>
              <w:spacing w:line="240" w:lineRule="auto"/>
              <w:ind w:firstLine="0" w:firstLineChars="0"/>
              <w:jc w:val="center"/>
              <w:rPr>
                <w:rFonts w:cs="Times New Roman"/>
                <w:sz w:val="21"/>
                <w:szCs w:val="21"/>
              </w:rPr>
            </w:pPr>
            <w:r>
              <w:rPr>
                <w:rFonts w:hint="eastAsia" w:cs="Times New Roman"/>
                <w:sz w:val="21"/>
                <w:szCs w:val="21"/>
              </w:rPr>
              <w:t>止：</w:t>
            </w:r>
            <w:r>
              <w:rPr>
                <w:rFonts w:cs="Times New Roman"/>
                <w:sz w:val="21"/>
                <w:szCs w:val="21"/>
              </w:rPr>
              <w:t>____</w:t>
            </w:r>
            <w:r>
              <w:rPr>
                <w:rFonts w:hint="eastAsia" w:cs="Times New Roman"/>
                <w:sz w:val="21"/>
                <w:szCs w:val="21"/>
              </w:rPr>
              <w:t>年</w:t>
            </w:r>
            <w:r>
              <w:rPr>
                <w:rFonts w:cs="Times New Roman"/>
                <w:sz w:val="21"/>
                <w:szCs w:val="21"/>
              </w:rPr>
              <w:t>__</w:t>
            </w:r>
            <w:r>
              <w:rPr>
                <w:rFonts w:hint="eastAsia" w:cs="Times New Roman"/>
                <w:sz w:val="21"/>
                <w:szCs w:val="21"/>
              </w:rPr>
              <w:t>月</w:t>
            </w:r>
            <w:r>
              <w:rPr>
                <w:rFonts w:cs="Times New Roman"/>
                <w:sz w:val="21"/>
                <w:szCs w:val="21"/>
              </w:rPr>
              <w:t>__</w:t>
            </w:r>
            <w:r>
              <w:rPr>
                <w:rFonts w:hint="eastAsia" w:cs="Times New Roman"/>
                <w:sz w:val="21"/>
                <w:szCs w:val="21"/>
              </w:rPr>
              <w:t>日</w:t>
            </w:r>
            <w:r>
              <w:rPr>
                <w:rFonts w:cs="Times New Roman"/>
                <w:sz w:val="21"/>
                <w:szCs w:val="21"/>
              </w:rPr>
              <w:t>__</w:t>
            </w:r>
            <w:r>
              <w:rPr>
                <w:rFonts w:hint="eastAsia" w:cs="Times New Roman"/>
                <w:sz w:val="21"/>
                <w:szCs w:val="21"/>
              </w:rPr>
              <w:t>时</w:t>
            </w:r>
            <w:r>
              <w:rPr>
                <w:rFonts w:cs="Times New Roman"/>
                <w:sz w:val="21"/>
                <w:szCs w:val="21"/>
              </w:rPr>
              <w:t>__</w:t>
            </w:r>
            <w:r>
              <w:rPr>
                <w:rFonts w:hint="eastAsia" w:cs="Times New Roman"/>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58" w:type="dxa"/>
            <w:vMerge w:val="continue"/>
          </w:tcPr>
          <w:p>
            <w:pPr>
              <w:snapToGrid w:val="0"/>
              <w:spacing w:line="240" w:lineRule="auto"/>
              <w:ind w:firstLine="0" w:firstLineChars="0"/>
              <w:jc w:val="center"/>
              <w:rPr>
                <w:rFonts w:cs="Times New Roman"/>
                <w:sz w:val="21"/>
                <w:szCs w:val="21"/>
              </w:rPr>
            </w:pPr>
          </w:p>
        </w:tc>
        <w:tc>
          <w:tcPr>
            <w:tcW w:w="1101" w:type="dxa"/>
            <w:vMerge w:val="continue"/>
          </w:tcPr>
          <w:p>
            <w:pPr>
              <w:snapToGrid w:val="0"/>
              <w:spacing w:line="240" w:lineRule="auto"/>
              <w:ind w:firstLine="0" w:firstLineChars="0"/>
              <w:jc w:val="center"/>
              <w:rPr>
                <w:rFonts w:cs="Times New Roman"/>
                <w:sz w:val="21"/>
                <w:szCs w:val="21"/>
              </w:rPr>
            </w:pPr>
          </w:p>
        </w:tc>
        <w:tc>
          <w:tcPr>
            <w:tcW w:w="902" w:type="dxa"/>
          </w:tcPr>
          <w:p>
            <w:pPr>
              <w:snapToGrid w:val="0"/>
              <w:spacing w:line="240" w:lineRule="auto"/>
              <w:ind w:firstLine="0" w:firstLineChars="0"/>
              <w:jc w:val="center"/>
              <w:rPr>
                <w:rFonts w:cs="Times New Roman"/>
                <w:sz w:val="21"/>
                <w:szCs w:val="21"/>
              </w:rPr>
            </w:pPr>
            <w:r>
              <w:rPr>
                <w:rFonts w:hint="eastAsia" w:cs="Times New Roman"/>
                <w:sz w:val="21"/>
                <w:szCs w:val="21"/>
              </w:rPr>
              <w:t>复核者</w:t>
            </w:r>
          </w:p>
        </w:tc>
        <w:tc>
          <w:tcPr>
            <w:tcW w:w="900" w:type="dxa"/>
          </w:tcPr>
          <w:p>
            <w:pPr>
              <w:snapToGrid w:val="0"/>
              <w:spacing w:line="240" w:lineRule="auto"/>
              <w:ind w:firstLine="0" w:firstLineChars="0"/>
              <w:jc w:val="center"/>
              <w:rPr>
                <w:rFonts w:cs="Times New Roman"/>
                <w:sz w:val="21"/>
                <w:szCs w:val="21"/>
              </w:rPr>
            </w:pPr>
          </w:p>
        </w:tc>
        <w:tc>
          <w:tcPr>
            <w:tcW w:w="1287" w:type="dxa"/>
            <w:vMerge w:val="continue"/>
          </w:tcPr>
          <w:p>
            <w:pPr>
              <w:snapToGrid w:val="0"/>
              <w:spacing w:line="240" w:lineRule="auto"/>
              <w:ind w:firstLine="0" w:firstLineChars="0"/>
              <w:jc w:val="center"/>
              <w:rPr>
                <w:rFonts w:cs="Times New Roman"/>
                <w:sz w:val="21"/>
                <w:szCs w:val="21"/>
              </w:rPr>
            </w:pPr>
          </w:p>
        </w:tc>
        <w:tc>
          <w:tcPr>
            <w:tcW w:w="3058" w:type="dxa"/>
            <w:vMerge w:val="continue"/>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9" w:type="dxa"/>
            <w:gridSpan w:val="2"/>
          </w:tcPr>
          <w:p>
            <w:pPr>
              <w:snapToGrid w:val="0"/>
              <w:spacing w:line="240" w:lineRule="auto"/>
              <w:ind w:firstLine="0" w:firstLineChars="0"/>
              <w:jc w:val="center"/>
              <w:rPr>
                <w:rFonts w:cs="Times New Roman"/>
                <w:b/>
                <w:sz w:val="21"/>
                <w:szCs w:val="21"/>
              </w:rPr>
            </w:pPr>
            <w:r>
              <w:rPr>
                <w:rFonts w:hint="eastAsia" w:cs="Times New Roman"/>
                <w:b/>
                <w:sz w:val="21"/>
                <w:szCs w:val="21"/>
              </w:rPr>
              <w:t>检查项目</w:t>
            </w:r>
          </w:p>
        </w:tc>
        <w:tc>
          <w:tcPr>
            <w:tcW w:w="1802" w:type="dxa"/>
            <w:gridSpan w:val="2"/>
          </w:tcPr>
          <w:p>
            <w:pPr>
              <w:snapToGrid w:val="0"/>
              <w:spacing w:line="240" w:lineRule="auto"/>
              <w:ind w:firstLine="0" w:firstLineChars="0"/>
              <w:jc w:val="center"/>
              <w:rPr>
                <w:rFonts w:cs="Times New Roman"/>
                <w:b/>
                <w:sz w:val="21"/>
                <w:szCs w:val="21"/>
              </w:rPr>
            </w:pPr>
            <w:r>
              <w:rPr>
                <w:rFonts w:hint="eastAsia" w:cs="Times New Roman"/>
                <w:b/>
                <w:sz w:val="21"/>
                <w:szCs w:val="21"/>
              </w:rPr>
              <w:t>结论</w:t>
            </w:r>
          </w:p>
        </w:tc>
        <w:tc>
          <w:tcPr>
            <w:tcW w:w="1287" w:type="dxa"/>
          </w:tcPr>
          <w:p>
            <w:pPr>
              <w:snapToGrid w:val="0"/>
              <w:spacing w:line="240" w:lineRule="auto"/>
              <w:ind w:firstLine="0" w:firstLineChars="0"/>
              <w:jc w:val="center"/>
              <w:rPr>
                <w:rFonts w:cs="Times New Roman"/>
                <w:b/>
                <w:sz w:val="21"/>
                <w:szCs w:val="21"/>
              </w:rPr>
            </w:pPr>
            <w:r>
              <w:rPr>
                <w:rFonts w:hint="eastAsia" w:cs="Times New Roman"/>
                <w:b/>
                <w:sz w:val="21"/>
                <w:szCs w:val="21"/>
              </w:rPr>
              <w:t>编号</w:t>
            </w:r>
          </w:p>
        </w:tc>
        <w:tc>
          <w:tcPr>
            <w:tcW w:w="3058" w:type="dxa"/>
          </w:tcPr>
          <w:p>
            <w:pPr>
              <w:snapToGrid w:val="0"/>
              <w:spacing w:line="240" w:lineRule="auto"/>
              <w:ind w:firstLine="0" w:firstLineChars="0"/>
              <w:jc w:val="center"/>
              <w:rPr>
                <w:rFonts w:cs="Times New Roman"/>
                <w:b/>
                <w:sz w:val="21"/>
                <w:szCs w:val="21"/>
              </w:rPr>
            </w:pPr>
            <w:r>
              <w:rPr>
                <w:rFonts w:hint="eastAsia" w:cs="Times New Roman"/>
                <w:b/>
                <w:sz w:val="21"/>
                <w:szCs w:val="21"/>
              </w:rPr>
              <w:t>存在问题及维护情况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9"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软件图标显示及打开</w:t>
            </w:r>
          </w:p>
          <w:p>
            <w:pPr>
              <w:snapToGrid w:val="0"/>
              <w:spacing w:line="240" w:lineRule="auto"/>
              <w:ind w:firstLine="0" w:firstLineChars="0"/>
              <w:jc w:val="center"/>
              <w:rPr>
                <w:rFonts w:cs="Times New Roman"/>
                <w:sz w:val="21"/>
                <w:szCs w:val="21"/>
              </w:rPr>
            </w:pPr>
            <w:r>
              <w:rPr>
                <w:rFonts w:hint="eastAsia" w:cs="Times New Roman"/>
                <w:sz w:val="21"/>
                <w:szCs w:val="21"/>
              </w:rPr>
              <w:t>情况</w:t>
            </w:r>
          </w:p>
        </w:tc>
        <w:tc>
          <w:tcPr>
            <w:tcW w:w="1802"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tcPr>
          <w:p>
            <w:pPr>
              <w:snapToGrid w:val="0"/>
              <w:spacing w:line="240" w:lineRule="auto"/>
              <w:ind w:firstLine="0" w:firstLineChars="0"/>
              <w:jc w:val="center"/>
              <w:rPr>
                <w:rFonts w:cs="Times New Roman"/>
                <w:sz w:val="21"/>
                <w:szCs w:val="21"/>
              </w:rPr>
            </w:pPr>
          </w:p>
        </w:tc>
        <w:tc>
          <w:tcPr>
            <w:tcW w:w="3058" w:type="dxa"/>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9"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软件界面各项功能</w:t>
            </w:r>
          </w:p>
          <w:p>
            <w:pPr>
              <w:snapToGrid w:val="0"/>
              <w:spacing w:line="240" w:lineRule="auto"/>
              <w:ind w:firstLine="0" w:firstLineChars="0"/>
              <w:jc w:val="center"/>
              <w:rPr>
                <w:rFonts w:cs="Times New Roman"/>
                <w:sz w:val="21"/>
                <w:szCs w:val="21"/>
              </w:rPr>
            </w:pPr>
            <w:r>
              <w:rPr>
                <w:rFonts w:hint="eastAsia" w:cs="Times New Roman"/>
                <w:sz w:val="21"/>
                <w:szCs w:val="21"/>
              </w:rPr>
              <w:t>是否正常运行</w:t>
            </w:r>
          </w:p>
        </w:tc>
        <w:tc>
          <w:tcPr>
            <w:tcW w:w="1802"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tcPr>
          <w:p>
            <w:pPr>
              <w:snapToGrid w:val="0"/>
              <w:spacing w:line="240" w:lineRule="auto"/>
              <w:ind w:firstLine="0" w:firstLineChars="0"/>
              <w:jc w:val="center"/>
              <w:rPr>
                <w:rFonts w:cs="Times New Roman"/>
                <w:sz w:val="21"/>
                <w:szCs w:val="21"/>
              </w:rPr>
            </w:pPr>
          </w:p>
        </w:tc>
        <w:tc>
          <w:tcPr>
            <w:tcW w:w="3058" w:type="dxa"/>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9"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数据采集软件采集数据是否完整</w:t>
            </w:r>
          </w:p>
        </w:tc>
        <w:tc>
          <w:tcPr>
            <w:tcW w:w="1802"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tcPr>
          <w:p>
            <w:pPr>
              <w:snapToGrid w:val="0"/>
              <w:spacing w:line="240" w:lineRule="auto"/>
              <w:ind w:firstLine="0" w:firstLineChars="0"/>
              <w:jc w:val="center"/>
              <w:rPr>
                <w:rFonts w:cs="Times New Roman"/>
                <w:sz w:val="21"/>
                <w:szCs w:val="21"/>
              </w:rPr>
            </w:pPr>
          </w:p>
        </w:tc>
        <w:tc>
          <w:tcPr>
            <w:tcW w:w="3058" w:type="dxa"/>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9"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数据采集设备的通讯软件情况</w:t>
            </w:r>
          </w:p>
        </w:tc>
        <w:tc>
          <w:tcPr>
            <w:tcW w:w="1802"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tcPr>
          <w:p>
            <w:pPr>
              <w:snapToGrid w:val="0"/>
              <w:spacing w:line="240" w:lineRule="auto"/>
              <w:ind w:firstLine="0" w:firstLineChars="0"/>
              <w:jc w:val="center"/>
              <w:rPr>
                <w:rFonts w:cs="Times New Roman"/>
                <w:sz w:val="21"/>
                <w:szCs w:val="21"/>
              </w:rPr>
            </w:pPr>
          </w:p>
        </w:tc>
        <w:tc>
          <w:tcPr>
            <w:tcW w:w="3058" w:type="dxa"/>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9"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数据显示软件的监控画面是否完整</w:t>
            </w:r>
          </w:p>
        </w:tc>
        <w:tc>
          <w:tcPr>
            <w:tcW w:w="1802"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tcPr>
          <w:p>
            <w:pPr>
              <w:snapToGrid w:val="0"/>
              <w:spacing w:line="240" w:lineRule="auto"/>
              <w:ind w:firstLine="0" w:firstLineChars="0"/>
              <w:jc w:val="center"/>
              <w:rPr>
                <w:rFonts w:cs="Times New Roman"/>
                <w:sz w:val="21"/>
                <w:szCs w:val="21"/>
              </w:rPr>
            </w:pPr>
          </w:p>
        </w:tc>
        <w:tc>
          <w:tcPr>
            <w:tcW w:w="3058" w:type="dxa"/>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9"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数据库软件功能及日志情况</w:t>
            </w:r>
          </w:p>
        </w:tc>
        <w:tc>
          <w:tcPr>
            <w:tcW w:w="1802"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tcPr>
          <w:p>
            <w:pPr>
              <w:snapToGrid w:val="0"/>
              <w:spacing w:line="240" w:lineRule="auto"/>
              <w:ind w:firstLine="0" w:firstLineChars="0"/>
              <w:jc w:val="center"/>
              <w:rPr>
                <w:rFonts w:cs="Times New Roman"/>
                <w:sz w:val="21"/>
                <w:szCs w:val="21"/>
              </w:rPr>
            </w:pPr>
          </w:p>
        </w:tc>
        <w:tc>
          <w:tcPr>
            <w:tcW w:w="3058" w:type="dxa"/>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9"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软件密钥或注册码是否完好并妥善保管</w:t>
            </w:r>
          </w:p>
        </w:tc>
        <w:tc>
          <w:tcPr>
            <w:tcW w:w="1802"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tcPr>
          <w:p>
            <w:pPr>
              <w:snapToGrid w:val="0"/>
              <w:spacing w:line="240" w:lineRule="auto"/>
              <w:ind w:firstLine="0" w:firstLineChars="0"/>
              <w:jc w:val="center"/>
              <w:rPr>
                <w:rFonts w:cs="Times New Roman"/>
                <w:sz w:val="21"/>
                <w:szCs w:val="21"/>
              </w:rPr>
            </w:pPr>
          </w:p>
        </w:tc>
        <w:tc>
          <w:tcPr>
            <w:tcW w:w="3058" w:type="dxa"/>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9"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其他情况</w:t>
            </w:r>
          </w:p>
        </w:tc>
        <w:tc>
          <w:tcPr>
            <w:tcW w:w="6147" w:type="dxa"/>
            <w:gridSpan w:val="4"/>
          </w:tcPr>
          <w:p>
            <w:pPr>
              <w:snapToGrid w:val="0"/>
              <w:spacing w:line="240" w:lineRule="auto"/>
              <w:ind w:firstLine="0" w:firstLineChars="0"/>
              <w:jc w:val="center"/>
              <w:rPr>
                <w:rFonts w:cs="Times New Roman"/>
                <w:sz w:val="21"/>
                <w:szCs w:val="21"/>
              </w:rPr>
            </w:pPr>
          </w:p>
        </w:tc>
      </w:tr>
    </w:tbl>
    <w:p>
      <w:pPr>
        <w:widowControl/>
        <w:spacing w:line="240" w:lineRule="auto"/>
        <w:ind w:firstLine="0" w:firstLineChars="0"/>
        <w:jc w:val="left"/>
      </w:pPr>
      <w:r>
        <w:br w:type="page"/>
      </w:r>
    </w:p>
    <w:p>
      <w:pPr>
        <w:widowControl/>
        <w:spacing w:line="240" w:lineRule="auto"/>
        <w:ind w:firstLine="0" w:firstLineChars="0"/>
        <w:jc w:val="left"/>
      </w:pPr>
    </w:p>
    <w:tbl>
      <w:tblPr>
        <w:tblStyle w:val="23"/>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948"/>
        <w:gridCol w:w="884"/>
        <w:gridCol w:w="919"/>
        <w:gridCol w:w="1288"/>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gridSpan w:val="6"/>
            <w:tcBorders>
              <w:top w:val="nil"/>
              <w:left w:val="nil"/>
              <w:bottom w:val="single" w:color="auto" w:sz="4" w:space="0"/>
              <w:right w:val="nil"/>
            </w:tcBorders>
            <w:vAlign w:val="center"/>
          </w:tcPr>
          <w:p>
            <w:pPr>
              <w:pStyle w:val="38"/>
              <w:rPr>
                <w:rFonts w:eastAsia="黑体" w:cs="Times New Roman"/>
                <w:szCs w:val="21"/>
              </w:rPr>
            </w:pPr>
            <w:r>
              <w:t>表B.</w:t>
            </w:r>
            <w:r>
              <w:fldChar w:fldCharType="begin"/>
            </w:r>
            <w:r>
              <w:instrText xml:space="preserve"> SEQ 附录表B \* ARABIC </w:instrText>
            </w:r>
            <w:r>
              <w:fldChar w:fldCharType="separate"/>
            </w:r>
            <w:r>
              <w:t>4</w:t>
            </w:r>
            <w:r>
              <w:fldChar w:fldCharType="end"/>
            </w:r>
            <w:r>
              <w:rPr>
                <w:b/>
                <w:bCs/>
              </w:rPr>
              <w:t xml:space="preserve"> </w:t>
            </w:r>
            <w:r>
              <w:rPr>
                <w:rFonts w:hint="eastAsia"/>
              </w:rPr>
              <w:t>传感器专项检查记录表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center"/>
          </w:tcPr>
          <w:p>
            <w:pPr>
              <w:snapToGrid w:val="0"/>
              <w:spacing w:line="240" w:lineRule="auto"/>
              <w:ind w:firstLine="0" w:firstLineChars="0"/>
              <w:jc w:val="center"/>
              <w:rPr>
                <w:rFonts w:cs="Times New Roman"/>
                <w:b/>
                <w:sz w:val="21"/>
                <w:szCs w:val="21"/>
              </w:rPr>
            </w:pPr>
            <w:r>
              <w:rPr>
                <w:rFonts w:hint="eastAsia" w:cs="Times New Roman"/>
                <w:sz w:val="21"/>
                <w:szCs w:val="21"/>
              </w:rPr>
              <w:t>项目名称</w:t>
            </w:r>
          </w:p>
        </w:tc>
        <w:tc>
          <w:tcPr>
            <w:tcW w:w="7099" w:type="dxa"/>
            <w:gridSpan w:val="5"/>
            <w:vAlign w:val="center"/>
          </w:tcPr>
          <w:p>
            <w:pPr>
              <w:snapToGrid w:val="0"/>
              <w:spacing w:line="240" w:lineRule="auto"/>
              <w:ind w:firstLine="0" w:firstLineChars="0"/>
              <w:jc w:val="center"/>
              <w:rPr>
                <w:rFonts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restart"/>
            <w:vAlign w:val="center"/>
          </w:tcPr>
          <w:p>
            <w:pPr>
              <w:snapToGrid w:val="0"/>
              <w:spacing w:line="240" w:lineRule="auto"/>
              <w:ind w:firstLine="0" w:firstLineChars="0"/>
              <w:jc w:val="center"/>
              <w:rPr>
                <w:rFonts w:cs="Times New Roman"/>
                <w:b/>
                <w:sz w:val="21"/>
                <w:szCs w:val="21"/>
              </w:rPr>
            </w:pPr>
            <w:r>
              <w:rPr>
                <w:rFonts w:hint="eastAsia" w:cs="Times New Roman"/>
                <w:b/>
                <w:sz w:val="21"/>
                <w:szCs w:val="21"/>
              </w:rPr>
              <w:t>检查周期</w:t>
            </w:r>
          </w:p>
        </w:tc>
        <w:tc>
          <w:tcPr>
            <w:tcW w:w="948" w:type="dxa"/>
            <w:vMerge w:val="restart"/>
            <w:vAlign w:val="center"/>
          </w:tcPr>
          <w:p>
            <w:pPr>
              <w:snapToGrid w:val="0"/>
              <w:spacing w:line="240" w:lineRule="auto"/>
              <w:ind w:firstLine="0" w:firstLineChars="0"/>
              <w:jc w:val="center"/>
              <w:rPr>
                <w:rFonts w:cs="Times New Roman"/>
                <w:b/>
                <w:sz w:val="21"/>
                <w:szCs w:val="21"/>
              </w:rPr>
            </w:pPr>
          </w:p>
        </w:tc>
        <w:tc>
          <w:tcPr>
            <w:tcW w:w="884" w:type="dxa"/>
          </w:tcPr>
          <w:p>
            <w:pPr>
              <w:snapToGrid w:val="0"/>
              <w:spacing w:line="240" w:lineRule="auto"/>
              <w:ind w:firstLine="0" w:firstLineChars="0"/>
              <w:jc w:val="center"/>
              <w:rPr>
                <w:rFonts w:cs="Times New Roman"/>
                <w:b/>
                <w:sz w:val="21"/>
                <w:szCs w:val="21"/>
              </w:rPr>
            </w:pPr>
            <w:r>
              <w:rPr>
                <w:rFonts w:hint="eastAsia" w:cs="Times New Roman"/>
                <w:sz w:val="21"/>
                <w:szCs w:val="21"/>
              </w:rPr>
              <w:t>操作者</w:t>
            </w:r>
          </w:p>
        </w:tc>
        <w:tc>
          <w:tcPr>
            <w:tcW w:w="919" w:type="dxa"/>
          </w:tcPr>
          <w:p>
            <w:pPr>
              <w:snapToGrid w:val="0"/>
              <w:spacing w:line="240" w:lineRule="auto"/>
              <w:ind w:firstLine="0" w:firstLineChars="0"/>
              <w:jc w:val="center"/>
              <w:rPr>
                <w:rFonts w:cs="Times New Roman"/>
                <w:b/>
                <w:sz w:val="21"/>
                <w:szCs w:val="21"/>
              </w:rPr>
            </w:pPr>
          </w:p>
        </w:tc>
        <w:tc>
          <w:tcPr>
            <w:tcW w:w="1288" w:type="dxa"/>
            <w:vMerge w:val="restart"/>
            <w:vAlign w:val="center"/>
          </w:tcPr>
          <w:p>
            <w:pPr>
              <w:snapToGrid w:val="0"/>
              <w:spacing w:line="240" w:lineRule="auto"/>
              <w:ind w:firstLine="0" w:firstLineChars="0"/>
              <w:jc w:val="center"/>
              <w:rPr>
                <w:rFonts w:cs="Times New Roman"/>
                <w:b/>
                <w:sz w:val="21"/>
                <w:szCs w:val="21"/>
              </w:rPr>
            </w:pPr>
            <w:r>
              <w:rPr>
                <w:rFonts w:hint="eastAsia" w:cs="Times New Roman"/>
                <w:b/>
                <w:sz w:val="21"/>
                <w:szCs w:val="21"/>
              </w:rPr>
              <w:t>起止时间</w:t>
            </w:r>
          </w:p>
        </w:tc>
        <w:tc>
          <w:tcPr>
            <w:tcW w:w="3060" w:type="dxa"/>
            <w:vMerge w:val="restart"/>
            <w:vAlign w:val="center"/>
          </w:tcPr>
          <w:p>
            <w:pPr>
              <w:snapToGrid w:val="0"/>
              <w:spacing w:line="240" w:lineRule="auto"/>
              <w:ind w:firstLine="0" w:firstLineChars="0"/>
              <w:jc w:val="center"/>
              <w:rPr>
                <w:rFonts w:cs="Times New Roman"/>
                <w:kern w:val="0"/>
                <w:sz w:val="21"/>
                <w:szCs w:val="21"/>
              </w:rPr>
            </w:pPr>
            <w:r>
              <w:rPr>
                <w:rFonts w:hint="eastAsia" w:cs="Times New Roman"/>
                <w:kern w:val="0"/>
                <w:sz w:val="21"/>
                <w:szCs w:val="21"/>
              </w:rPr>
              <w:t>起：</w:t>
            </w:r>
            <w:r>
              <w:rPr>
                <w:rFonts w:cs="Times New Roman"/>
                <w:kern w:val="0"/>
                <w:sz w:val="21"/>
                <w:szCs w:val="21"/>
              </w:rPr>
              <w:t>____</w:t>
            </w:r>
            <w:r>
              <w:rPr>
                <w:rFonts w:hint="eastAsia" w:cs="Times New Roman"/>
                <w:kern w:val="0"/>
                <w:sz w:val="21"/>
                <w:szCs w:val="21"/>
              </w:rPr>
              <w:t>年</w:t>
            </w:r>
            <w:r>
              <w:rPr>
                <w:rFonts w:cs="Times New Roman"/>
                <w:kern w:val="0"/>
                <w:sz w:val="21"/>
                <w:szCs w:val="21"/>
              </w:rPr>
              <w:t>__</w:t>
            </w:r>
            <w:r>
              <w:rPr>
                <w:rFonts w:hint="eastAsia" w:cs="Times New Roman"/>
                <w:kern w:val="0"/>
                <w:sz w:val="21"/>
                <w:szCs w:val="21"/>
              </w:rPr>
              <w:t>月</w:t>
            </w:r>
            <w:r>
              <w:rPr>
                <w:rFonts w:cs="Times New Roman"/>
                <w:kern w:val="0"/>
                <w:sz w:val="21"/>
                <w:szCs w:val="21"/>
              </w:rPr>
              <w:t>__</w:t>
            </w:r>
            <w:r>
              <w:rPr>
                <w:rFonts w:hint="eastAsia" w:cs="Times New Roman"/>
                <w:kern w:val="0"/>
                <w:sz w:val="21"/>
                <w:szCs w:val="21"/>
              </w:rPr>
              <w:t>日</w:t>
            </w:r>
            <w:r>
              <w:rPr>
                <w:rFonts w:cs="Times New Roman"/>
                <w:kern w:val="0"/>
                <w:sz w:val="21"/>
                <w:szCs w:val="21"/>
              </w:rPr>
              <w:t>__</w:t>
            </w:r>
            <w:r>
              <w:rPr>
                <w:rFonts w:hint="eastAsia" w:cs="Times New Roman"/>
                <w:kern w:val="0"/>
                <w:sz w:val="21"/>
                <w:szCs w:val="21"/>
              </w:rPr>
              <w:t>时</w:t>
            </w:r>
            <w:r>
              <w:rPr>
                <w:rFonts w:cs="Times New Roman"/>
                <w:kern w:val="0"/>
                <w:sz w:val="21"/>
                <w:szCs w:val="21"/>
              </w:rPr>
              <w:t>__</w:t>
            </w:r>
            <w:r>
              <w:rPr>
                <w:rFonts w:hint="eastAsia" w:cs="Times New Roman"/>
                <w:kern w:val="0"/>
                <w:sz w:val="21"/>
                <w:szCs w:val="21"/>
              </w:rPr>
              <w:t>分</w:t>
            </w:r>
          </w:p>
          <w:p>
            <w:pPr>
              <w:snapToGrid w:val="0"/>
              <w:spacing w:line="240" w:lineRule="auto"/>
              <w:ind w:firstLine="0" w:firstLineChars="0"/>
              <w:jc w:val="center"/>
              <w:rPr>
                <w:rFonts w:cs="Times New Roman"/>
                <w:b/>
                <w:sz w:val="21"/>
                <w:szCs w:val="21"/>
              </w:rPr>
            </w:pPr>
            <w:r>
              <w:rPr>
                <w:rFonts w:hint="eastAsia" w:cs="Times New Roman"/>
                <w:kern w:val="0"/>
                <w:sz w:val="21"/>
                <w:szCs w:val="21"/>
              </w:rPr>
              <w:t>止：</w:t>
            </w:r>
            <w:r>
              <w:rPr>
                <w:rFonts w:cs="Times New Roman"/>
                <w:kern w:val="0"/>
                <w:sz w:val="21"/>
                <w:szCs w:val="21"/>
              </w:rPr>
              <w:t>____</w:t>
            </w:r>
            <w:r>
              <w:rPr>
                <w:rFonts w:hint="eastAsia" w:cs="Times New Roman"/>
                <w:kern w:val="0"/>
                <w:sz w:val="21"/>
                <w:szCs w:val="21"/>
              </w:rPr>
              <w:t>年</w:t>
            </w:r>
            <w:r>
              <w:rPr>
                <w:rFonts w:cs="Times New Roman"/>
                <w:kern w:val="0"/>
                <w:sz w:val="21"/>
                <w:szCs w:val="21"/>
              </w:rPr>
              <w:t>__</w:t>
            </w:r>
            <w:r>
              <w:rPr>
                <w:rFonts w:hint="eastAsia" w:cs="Times New Roman"/>
                <w:kern w:val="0"/>
                <w:sz w:val="21"/>
                <w:szCs w:val="21"/>
              </w:rPr>
              <w:t>月</w:t>
            </w:r>
            <w:r>
              <w:rPr>
                <w:rFonts w:cs="Times New Roman"/>
                <w:kern w:val="0"/>
                <w:sz w:val="21"/>
                <w:szCs w:val="21"/>
              </w:rPr>
              <w:t>__</w:t>
            </w:r>
            <w:r>
              <w:rPr>
                <w:rFonts w:hint="eastAsia" w:cs="Times New Roman"/>
                <w:kern w:val="0"/>
                <w:sz w:val="21"/>
                <w:szCs w:val="21"/>
              </w:rPr>
              <w:t>日</w:t>
            </w:r>
            <w:r>
              <w:rPr>
                <w:rFonts w:cs="Times New Roman"/>
                <w:kern w:val="0"/>
                <w:sz w:val="21"/>
                <w:szCs w:val="21"/>
              </w:rPr>
              <w:t>__</w:t>
            </w:r>
            <w:r>
              <w:rPr>
                <w:rFonts w:hint="eastAsia" w:cs="Times New Roman"/>
                <w:kern w:val="0"/>
                <w:sz w:val="21"/>
                <w:szCs w:val="21"/>
              </w:rPr>
              <w:t>时</w:t>
            </w:r>
            <w:r>
              <w:rPr>
                <w:rFonts w:cs="Times New Roman"/>
                <w:kern w:val="0"/>
                <w:sz w:val="21"/>
                <w:szCs w:val="21"/>
              </w:rPr>
              <w:t>__</w:t>
            </w:r>
            <w:r>
              <w:rPr>
                <w:rFonts w:hint="eastAsia" w:cs="Times New Roman"/>
                <w:kern w:val="0"/>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Merge w:val="continue"/>
            <w:vAlign w:val="center"/>
          </w:tcPr>
          <w:p>
            <w:pPr>
              <w:snapToGrid w:val="0"/>
              <w:spacing w:line="240" w:lineRule="auto"/>
              <w:ind w:firstLine="0" w:firstLineChars="0"/>
              <w:jc w:val="center"/>
              <w:rPr>
                <w:rFonts w:cs="Times New Roman"/>
                <w:b/>
                <w:sz w:val="21"/>
                <w:szCs w:val="21"/>
              </w:rPr>
            </w:pPr>
          </w:p>
        </w:tc>
        <w:tc>
          <w:tcPr>
            <w:tcW w:w="948" w:type="dxa"/>
            <w:vMerge w:val="continue"/>
            <w:vAlign w:val="center"/>
          </w:tcPr>
          <w:p>
            <w:pPr>
              <w:snapToGrid w:val="0"/>
              <w:spacing w:line="240" w:lineRule="auto"/>
              <w:ind w:firstLine="0" w:firstLineChars="0"/>
              <w:jc w:val="center"/>
              <w:rPr>
                <w:rFonts w:cs="Times New Roman"/>
                <w:b/>
                <w:sz w:val="21"/>
                <w:szCs w:val="21"/>
              </w:rPr>
            </w:pPr>
          </w:p>
        </w:tc>
        <w:tc>
          <w:tcPr>
            <w:tcW w:w="884" w:type="dxa"/>
          </w:tcPr>
          <w:p>
            <w:pPr>
              <w:snapToGrid w:val="0"/>
              <w:spacing w:line="240" w:lineRule="auto"/>
              <w:ind w:firstLine="0" w:firstLineChars="0"/>
              <w:jc w:val="center"/>
              <w:rPr>
                <w:rFonts w:cs="Times New Roman"/>
                <w:b/>
                <w:sz w:val="21"/>
                <w:szCs w:val="21"/>
              </w:rPr>
            </w:pPr>
            <w:r>
              <w:rPr>
                <w:rFonts w:hint="eastAsia" w:cs="Times New Roman"/>
                <w:sz w:val="21"/>
                <w:szCs w:val="21"/>
              </w:rPr>
              <w:t>复核者</w:t>
            </w:r>
          </w:p>
        </w:tc>
        <w:tc>
          <w:tcPr>
            <w:tcW w:w="919" w:type="dxa"/>
          </w:tcPr>
          <w:p>
            <w:pPr>
              <w:snapToGrid w:val="0"/>
              <w:spacing w:line="240" w:lineRule="auto"/>
              <w:ind w:firstLine="0" w:firstLineChars="0"/>
              <w:jc w:val="center"/>
              <w:rPr>
                <w:rFonts w:cs="Times New Roman"/>
                <w:b/>
                <w:sz w:val="21"/>
                <w:szCs w:val="21"/>
              </w:rPr>
            </w:pPr>
          </w:p>
        </w:tc>
        <w:tc>
          <w:tcPr>
            <w:tcW w:w="1288" w:type="dxa"/>
            <w:vMerge w:val="continue"/>
            <w:vAlign w:val="center"/>
          </w:tcPr>
          <w:p>
            <w:pPr>
              <w:snapToGrid w:val="0"/>
              <w:spacing w:line="240" w:lineRule="auto"/>
              <w:ind w:firstLine="0" w:firstLineChars="0"/>
              <w:jc w:val="center"/>
              <w:rPr>
                <w:rFonts w:cs="Times New Roman"/>
                <w:b/>
                <w:sz w:val="21"/>
                <w:szCs w:val="21"/>
              </w:rPr>
            </w:pPr>
          </w:p>
        </w:tc>
        <w:tc>
          <w:tcPr>
            <w:tcW w:w="3060" w:type="dxa"/>
            <w:vMerge w:val="continue"/>
            <w:vAlign w:val="center"/>
          </w:tcPr>
          <w:p>
            <w:pPr>
              <w:snapToGrid w:val="0"/>
              <w:spacing w:line="240" w:lineRule="auto"/>
              <w:ind w:firstLine="0" w:firstLineChars="0"/>
              <w:jc w:val="center"/>
              <w:rPr>
                <w:rFonts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gridSpan w:val="2"/>
            <w:vAlign w:val="center"/>
          </w:tcPr>
          <w:p>
            <w:pPr>
              <w:snapToGrid w:val="0"/>
              <w:spacing w:line="240" w:lineRule="auto"/>
              <w:ind w:firstLine="0" w:firstLineChars="0"/>
              <w:jc w:val="center"/>
              <w:rPr>
                <w:rFonts w:cs="Times New Roman"/>
                <w:b/>
                <w:sz w:val="21"/>
                <w:szCs w:val="21"/>
              </w:rPr>
            </w:pPr>
            <w:r>
              <w:rPr>
                <w:rFonts w:hint="eastAsia" w:cs="Times New Roman"/>
                <w:b/>
                <w:sz w:val="21"/>
                <w:szCs w:val="21"/>
              </w:rPr>
              <w:t>检查项目</w:t>
            </w:r>
          </w:p>
        </w:tc>
        <w:tc>
          <w:tcPr>
            <w:tcW w:w="1803" w:type="dxa"/>
            <w:gridSpan w:val="2"/>
            <w:vAlign w:val="center"/>
          </w:tcPr>
          <w:p>
            <w:pPr>
              <w:snapToGrid w:val="0"/>
              <w:spacing w:line="240" w:lineRule="auto"/>
              <w:ind w:firstLine="0" w:firstLineChars="0"/>
              <w:jc w:val="center"/>
              <w:rPr>
                <w:rFonts w:cs="Times New Roman"/>
                <w:b/>
                <w:sz w:val="21"/>
                <w:szCs w:val="21"/>
              </w:rPr>
            </w:pPr>
            <w:r>
              <w:rPr>
                <w:rFonts w:hint="eastAsia" w:cs="Times New Roman"/>
                <w:b/>
                <w:sz w:val="21"/>
                <w:szCs w:val="21"/>
              </w:rPr>
              <w:t>结论</w:t>
            </w:r>
          </w:p>
        </w:tc>
        <w:tc>
          <w:tcPr>
            <w:tcW w:w="1288" w:type="dxa"/>
            <w:vAlign w:val="center"/>
          </w:tcPr>
          <w:p>
            <w:pPr>
              <w:snapToGrid w:val="0"/>
              <w:spacing w:line="240" w:lineRule="auto"/>
              <w:ind w:firstLine="0" w:firstLineChars="0"/>
              <w:jc w:val="center"/>
              <w:rPr>
                <w:rFonts w:cs="Times New Roman"/>
                <w:b/>
                <w:sz w:val="21"/>
                <w:szCs w:val="21"/>
              </w:rPr>
            </w:pPr>
            <w:r>
              <w:rPr>
                <w:rFonts w:hint="eastAsia" w:cs="Times New Roman"/>
                <w:b/>
                <w:sz w:val="21"/>
                <w:szCs w:val="21"/>
              </w:rPr>
              <w:t>传感器编号</w:t>
            </w:r>
          </w:p>
        </w:tc>
        <w:tc>
          <w:tcPr>
            <w:tcW w:w="3060" w:type="dxa"/>
            <w:vAlign w:val="center"/>
          </w:tcPr>
          <w:p>
            <w:pPr>
              <w:snapToGrid w:val="0"/>
              <w:spacing w:line="240" w:lineRule="auto"/>
              <w:ind w:firstLine="0" w:firstLineChars="0"/>
              <w:jc w:val="center"/>
              <w:rPr>
                <w:rFonts w:cs="Times New Roman"/>
                <w:b/>
                <w:sz w:val="21"/>
                <w:szCs w:val="21"/>
              </w:rPr>
            </w:pPr>
            <w:r>
              <w:rPr>
                <w:rFonts w:hint="eastAsia" w:cs="Times New Roman"/>
                <w:b/>
                <w:sz w:val="21"/>
                <w:szCs w:val="21"/>
              </w:rPr>
              <w:t>存在问题及维护情况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风速仪</w:t>
            </w:r>
          </w:p>
        </w:tc>
        <w:tc>
          <w:tcPr>
            <w:tcW w:w="180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8" w:type="dxa"/>
            <w:vAlign w:val="center"/>
          </w:tcPr>
          <w:p>
            <w:pPr>
              <w:snapToGrid w:val="0"/>
              <w:spacing w:line="240" w:lineRule="auto"/>
              <w:ind w:firstLine="0" w:firstLineChars="0"/>
              <w:jc w:val="center"/>
              <w:rPr>
                <w:rFonts w:cs="Times New Roman"/>
                <w:sz w:val="21"/>
                <w:szCs w:val="21"/>
              </w:rPr>
            </w:pPr>
          </w:p>
        </w:tc>
        <w:tc>
          <w:tcPr>
            <w:tcW w:w="3060"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温度、湿度、雨量传感器</w:t>
            </w:r>
          </w:p>
        </w:tc>
        <w:tc>
          <w:tcPr>
            <w:tcW w:w="180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8" w:type="dxa"/>
            <w:vAlign w:val="center"/>
          </w:tcPr>
          <w:p>
            <w:pPr>
              <w:snapToGrid w:val="0"/>
              <w:spacing w:line="240" w:lineRule="auto"/>
              <w:ind w:firstLine="0" w:firstLineChars="0"/>
              <w:jc w:val="center"/>
              <w:rPr>
                <w:rFonts w:cs="Times New Roman"/>
                <w:sz w:val="21"/>
                <w:szCs w:val="21"/>
              </w:rPr>
            </w:pPr>
          </w:p>
        </w:tc>
        <w:tc>
          <w:tcPr>
            <w:tcW w:w="3060"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车辆荷载传感器</w:t>
            </w:r>
          </w:p>
        </w:tc>
        <w:tc>
          <w:tcPr>
            <w:tcW w:w="180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8" w:type="dxa"/>
            <w:vAlign w:val="center"/>
          </w:tcPr>
          <w:p>
            <w:pPr>
              <w:snapToGrid w:val="0"/>
              <w:spacing w:line="240" w:lineRule="auto"/>
              <w:ind w:firstLine="0" w:firstLineChars="0"/>
              <w:jc w:val="center"/>
              <w:rPr>
                <w:rFonts w:cs="Times New Roman"/>
                <w:sz w:val="21"/>
                <w:szCs w:val="21"/>
              </w:rPr>
            </w:pPr>
          </w:p>
        </w:tc>
        <w:tc>
          <w:tcPr>
            <w:tcW w:w="3060"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数字摄像设备</w:t>
            </w:r>
          </w:p>
        </w:tc>
        <w:tc>
          <w:tcPr>
            <w:tcW w:w="180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8" w:type="dxa"/>
            <w:vAlign w:val="center"/>
          </w:tcPr>
          <w:p>
            <w:pPr>
              <w:snapToGrid w:val="0"/>
              <w:spacing w:line="240" w:lineRule="auto"/>
              <w:ind w:firstLine="0" w:firstLineChars="0"/>
              <w:jc w:val="center"/>
              <w:rPr>
                <w:rFonts w:cs="Times New Roman"/>
                <w:sz w:val="21"/>
                <w:szCs w:val="21"/>
              </w:rPr>
            </w:pPr>
          </w:p>
        </w:tc>
        <w:tc>
          <w:tcPr>
            <w:tcW w:w="3060"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挠度传感器</w:t>
            </w:r>
          </w:p>
        </w:tc>
        <w:tc>
          <w:tcPr>
            <w:tcW w:w="180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8" w:type="dxa"/>
            <w:vAlign w:val="center"/>
          </w:tcPr>
          <w:p>
            <w:pPr>
              <w:snapToGrid w:val="0"/>
              <w:spacing w:line="240" w:lineRule="auto"/>
              <w:ind w:firstLine="0" w:firstLineChars="0"/>
              <w:jc w:val="center"/>
              <w:rPr>
                <w:rFonts w:cs="Times New Roman"/>
                <w:sz w:val="21"/>
                <w:szCs w:val="21"/>
              </w:rPr>
            </w:pPr>
          </w:p>
        </w:tc>
        <w:tc>
          <w:tcPr>
            <w:tcW w:w="3060"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位移传感器</w:t>
            </w:r>
          </w:p>
        </w:tc>
        <w:tc>
          <w:tcPr>
            <w:tcW w:w="180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8" w:type="dxa"/>
            <w:vAlign w:val="center"/>
          </w:tcPr>
          <w:p>
            <w:pPr>
              <w:snapToGrid w:val="0"/>
              <w:spacing w:line="240" w:lineRule="auto"/>
              <w:ind w:firstLine="0" w:firstLineChars="0"/>
              <w:jc w:val="center"/>
              <w:rPr>
                <w:rFonts w:cs="Times New Roman"/>
                <w:sz w:val="21"/>
                <w:szCs w:val="21"/>
              </w:rPr>
            </w:pPr>
          </w:p>
        </w:tc>
        <w:tc>
          <w:tcPr>
            <w:tcW w:w="3060"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振动</w:t>
            </w:r>
            <w:r>
              <w:rPr>
                <w:rFonts w:cs="Times New Roman"/>
                <w:sz w:val="21"/>
                <w:szCs w:val="21"/>
              </w:rPr>
              <w:t>/</w:t>
            </w:r>
            <w:r>
              <w:rPr>
                <w:rFonts w:hint="eastAsia" w:cs="Times New Roman"/>
                <w:sz w:val="21"/>
                <w:szCs w:val="21"/>
              </w:rPr>
              <w:t>加速度传感器</w:t>
            </w:r>
          </w:p>
        </w:tc>
        <w:tc>
          <w:tcPr>
            <w:tcW w:w="180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8" w:type="dxa"/>
            <w:vAlign w:val="center"/>
          </w:tcPr>
          <w:p>
            <w:pPr>
              <w:snapToGrid w:val="0"/>
              <w:spacing w:line="240" w:lineRule="auto"/>
              <w:ind w:firstLine="0" w:firstLineChars="0"/>
              <w:jc w:val="center"/>
              <w:rPr>
                <w:rFonts w:cs="Times New Roman"/>
                <w:sz w:val="21"/>
                <w:szCs w:val="21"/>
              </w:rPr>
            </w:pPr>
          </w:p>
        </w:tc>
        <w:tc>
          <w:tcPr>
            <w:tcW w:w="3060"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倾角传感器</w:t>
            </w:r>
          </w:p>
        </w:tc>
        <w:tc>
          <w:tcPr>
            <w:tcW w:w="180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8" w:type="dxa"/>
            <w:vAlign w:val="center"/>
          </w:tcPr>
          <w:p>
            <w:pPr>
              <w:snapToGrid w:val="0"/>
              <w:spacing w:line="240" w:lineRule="auto"/>
              <w:ind w:firstLine="0" w:firstLineChars="0"/>
              <w:jc w:val="center"/>
              <w:rPr>
                <w:rFonts w:cs="Times New Roman"/>
                <w:sz w:val="21"/>
                <w:szCs w:val="21"/>
              </w:rPr>
            </w:pPr>
          </w:p>
        </w:tc>
        <w:tc>
          <w:tcPr>
            <w:tcW w:w="3060"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gridSpan w:val="2"/>
            <w:vAlign w:val="center"/>
          </w:tcPr>
          <w:p>
            <w:pPr>
              <w:snapToGrid w:val="0"/>
              <w:spacing w:line="240" w:lineRule="auto"/>
              <w:ind w:firstLine="0" w:firstLineChars="0"/>
              <w:jc w:val="center"/>
              <w:rPr>
                <w:rFonts w:cs="Times New Roman"/>
                <w:sz w:val="21"/>
                <w:szCs w:val="21"/>
              </w:rPr>
            </w:pPr>
            <w:r>
              <w:rPr>
                <w:rFonts w:cs="Times New Roman"/>
                <w:sz w:val="21"/>
                <w:szCs w:val="21"/>
              </w:rPr>
              <w:t>GPS/</w:t>
            </w:r>
            <w:r>
              <w:rPr>
                <w:rFonts w:hint="eastAsia" w:cs="Times New Roman"/>
                <w:sz w:val="21"/>
                <w:szCs w:val="21"/>
              </w:rPr>
              <w:t>北斗传感器</w:t>
            </w:r>
          </w:p>
        </w:tc>
        <w:tc>
          <w:tcPr>
            <w:tcW w:w="180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8" w:type="dxa"/>
            <w:vAlign w:val="center"/>
          </w:tcPr>
          <w:p>
            <w:pPr>
              <w:snapToGrid w:val="0"/>
              <w:spacing w:line="240" w:lineRule="auto"/>
              <w:ind w:firstLine="0" w:firstLineChars="0"/>
              <w:jc w:val="center"/>
              <w:rPr>
                <w:rFonts w:cs="Times New Roman"/>
                <w:sz w:val="21"/>
                <w:szCs w:val="21"/>
              </w:rPr>
            </w:pPr>
          </w:p>
        </w:tc>
        <w:tc>
          <w:tcPr>
            <w:tcW w:w="3060"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应变传感器</w:t>
            </w:r>
          </w:p>
        </w:tc>
        <w:tc>
          <w:tcPr>
            <w:tcW w:w="180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8" w:type="dxa"/>
            <w:vAlign w:val="center"/>
          </w:tcPr>
          <w:p>
            <w:pPr>
              <w:snapToGrid w:val="0"/>
              <w:spacing w:line="240" w:lineRule="auto"/>
              <w:ind w:firstLine="0" w:firstLineChars="0"/>
              <w:jc w:val="center"/>
              <w:rPr>
                <w:rFonts w:cs="Times New Roman"/>
                <w:sz w:val="21"/>
                <w:szCs w:val="21"/>
              </w:rPr>
            </w:pPr>
          </w:p>
        </w:tc>
        <w:tc>
          <w:tcPr>
            <w:tcW w:w="3060"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索力传感器</w:t>
            </w:r>
          </w:p>
        </w:tc>
        <w:tc>
          <w:tcPr>
            <w:tcW w:w="180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8" w:type="dxa"/>
            <w:vAlign w:val="center"/>
          </w:tcPr>
          <w:p>
            <w:pPr>
              <w:snapToGrid w:val="0"/>
              <w:spacing w:line="240" w:lineRule="auto"/>
              <w:ind w:firstLine="0" w:firstLineChars="0"/>
              <w:jc w:val="center"/>
              <w:rPr>
                <w:rFonts w:cs="Times New Roman"/>
                <w:sz w:val="21"/>
                <w:szCs w:val="21"/>
              </w:rPr>
            </w:pPr>
          </w:p>
        </w:tc>
        <w:tc>
          <w:tcPr>
            <w:tcW w:w="3060"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gridSpan w:val="2"/>
            <w:vAlign w:val="center"/>
          </w:tcPr>
          <w:p>
            <w:pPr>
              <w:snapToGrid w:val="0"/>
              <w:spacing w:line="240" w:lineRule="auto"/>
              <w:ind w:firstLine="0" w:firstLineChars="0"/>
              <w:jc w:val="center"/>
              <w:rPr>
                <w:rFonts w:cs="Times New Roman"/>
                <w:sz w:val="21"/>
                <w:szCs w:val="21"/>
              </w:rPr>
            </w:pPr>
            <w:r>
              <w:rPr>
                <w:rFonts w:cs="Times New Roman"/>
                <w:sz w:val="21"/>
                <w:szCs w:val="21"/>
              </w:rPr>
              <w:t>……</w:t>
            </w:r>
          </w:p>
        </w:tc>
        <w:tc>
          <w:tcPr>
            <w:tcW w:w="1803" w:type="dxa"/>
            <w:gridSpan w:val="2"/>
            <w:vAlign w:val="center"/>
          </w:tcPr>
          <w:p>
            <w:pPr>
              <w:snapToGrid w:val="0"/>
              <w:spacing w:line="240" w:lineRule="auto"/>
              <w:ind w:firstLine="0" w:firstLineChars="0"/>
              <w:jc w:val="center"/>
              <w:rPr>
                <w:rFonts w:cs="Times New Roman"/>
                <w:sz w:val="21"/>
                <w:szCs w:val="21"/>
              </w:rPr>
            </w:pPr>
          </w:p>
        </w:tc>
        <w:tc>
          <w:tcPr>
            <w:tcW w:w="1288" w:type="dxa"/>
            <w:vAlign w:val="center"/>
          </w:tcPr>
          <w:p>
            <w:pPr>
              <w:snapToGrid w:val="0"/>
              <w:spacing w:line="240" w:lineRule="auto"/>
              <w:ind w:firstLine="0" w:firstLineChars="0"/>
              <w:jc w:val="center"/>
              <w:rPr>
                <w:rFonts w:cs="Times New Roman"/>
                <w:sz w:val="21"/>
                <w:szCs w:val="21"/>
              </w:rPr>
            </w:pPr>
          </w:p>
        </w:tc>
        <w:tc>
          <w:tcPr>
            <w:tcW w:w="3060"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传感器工作环境</w:t>
            </w:r>
          </w:p>
        </w:tc>
        <w:tc>
          <w:tcPr>
            <w:tcW w:w="180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8" w:type="dxa"/>
            <w:vAlign w:val="center"/>
          </w:tcPr>
          <w:p>
            <w:pPr>
              <w:snapToGrid w:val="0"/>
              <w:spacing w:line="240" w:lineRule="auto"/>
              <w:ind w:firstLine="0" w:firstLineChars="0"/>
              <w:jc w:val="center"/>
              <w:rPr>
                <w:rFonts w:cs="Times New Roman"/>
                <w:sz w:val="21"/>
                <w:szCs w:val="21"/>
              </w:rPr>
            </w:pPr>
          </w:p>
        </w:tc>
        <w:tc>
          <w:tcPr>
            <w:tcW w:w="3060"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传感器防护措施</w:t>
            </w:r>
          </w:p>
        </w:tc>
        <w:tc>
          <w:tcPr>
            <w:tcW w:w="180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8" w:type="dxa"/>
            <w:vAlign w:val="center"/>
          </w:tcPr>
          <w:p>
            <w:pPr>
              <w:snapToGrid w:val="0"/>
              <w:spacing w:line="240" w:lineRule="auto"/>
              <w:ind w:firstLine="0" w:firstLineChars="0"/>
              <w:jc w:val="center"/>
              <w:rPr>
                <w:rFonts w:cs="Times New Roman"/>
                <w:sz w:val="21"/>
                <w:szCs w:val="21"/>
              </w:rPr>
            </w:pPr>
          </w:p>
        </w:tc>
        <w:tc>
          <w:tcPr>
            <w:tcW w:w="3060"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传感器线缆</w:t>
            </w:r>
          </w:p>
        </w:tc>
        <w:tc>
          <w:tcPr>
            <w:tcW w:w="1803"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8" w:type="dxa"/>
            <w:vAlign w:val="center"/>
          </w:tcPr>
          <w:p>
            <w:pPr>
              <w:snapToGrid w:val="0"/>
              <w:spacing w:line="240" w:lineRule="auto"/>
              <w:ind w:firstLine="0" w:firstLineChars="0"/>
              <w:jc w:val="center"/>
              <w:rPr>
                <w:rFonts w:cs="Times New Roman"/>
                <w:sz w:val="21"/>
                <w:szCs w:val="21"/>
              </w:rPr>
            </w:pPr>
          </w:p>
        </w:tc>
        <w:tc>
          <w:tcPr>
            <w:tcW w:w="3060"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gridSpan w:val="2"/>
            <w:vAlign w:val="center"/>
          </w:tcPr>
          <w:p>
            <w:pPr>
              <w:snapToGrid w:val="0"/>
              <w:spacing w:line="240" w:lineRule="auto"/>
              <w:ind w:firstLine="0" w:firstLineChars="0"/>
              <w:jc w:val="center"/>
              <w:rPr>
                <w:rFonts w:cs="Times New Roman"/>
                <w:sz w:val="21"/>
                <w:szCs w:val="21"/>
              </w:rPr>
            </w:pPr>
            <w:r>
              <w:rPr>
                <w:rFonts w:hint="eastAsia" w:cs="Times New Roman"/>
                <w:sz w:val="21"/>
                <w:szCs w:val="21"/>
              </w:rPr>
              <w:t>其他情况</w:t>
            </w:r>
          </w:p>
        </w:tc>
        <w:tc>
          <w:tcPr>
            <w:tcW w:w="6151" w:type="dxa"/>
            <w:gridSpan w:val="4"/>
            <w:vAlign w:val="center"/>
          </w:tcPr>
          <w:p>
            <w:pPr>
              <w:snapToGrid w:val="0"/>
              <w:spacing w:line="240" w:lineRule="auto"/>
              <w:ind w:firstLine="0" w:firstLineChars="0"/>
              <w:jc w:val="center"/>
              <w:rPr>
                <w:rFonts w:cs="Times New Roman"/>
                <w:sz w:val="21"/>
                <w:szCs w:val="21"/>
              </w:rPr>
            </w:pPr>
          </w:p>
        </w:tc>
      </w:tr>
    </w:tbl>
    <w:p>
      <w:pPr>
        <w:ind w:firstLine="0" w:firstLineChars="0"/>
      </w:pPr>
    </w:p>
    <w:p>
      <w:pPr>
        <w:widowControl/>
        <w:spacing w:line="240" w:lineRule="auto"/>
        <w:ind w:firstLine="0" w:firstLineChars="0"/>
        <w:jc w:val="left"/>
      </w:pPr>
      <w:r>
        <w:br w:type="page"/>
      </w:r>
    </w:p>
    <w:tbl>
      <w:tblPr>
        <w:tblStyle w:val="44"/>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1101"/>
        <w:gridCol w:w="902"/>
        <w:gridCol w:w="900"/>
        <w:gridCol w:w="1287"/>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gridSpan w:val="6"/>
            <w:tcBorders>
              <w:top w:val="nil"/>
              <w:left w:val="nil"/>
              <w:bottom w:val="single" w:color="auto" w:sz="4" w:space="0"/>
              <w:right w:val="nil"/>
            </w:tcBorders>
          </w:tcPr>
          <w:p>
            <w:pPr>
              <w:pStyle w:val="38"/>
            </w:pPr>
            <w:r>
              <w:t>表B.</w:t>
            </w:r>
            <w:r>
              <w:fldChar w:fldCharType="begin"/>
            </w:r>
            <w:r>
              <w:instrText xml:space="preserve"> SEQ 附录表B \* ARABIC </w:instrText>
            </w:r>
            <w:r>
              <w:fldChar w:fldCharType="separate"/>
            </w:r>
            <w:r>
              <w:t>5</w:t>
            </w:r>
            <w:r>
              <w:fldChar w:fldCharType="end"/>
            </w:r>
            <w:r>
              <w:rPr>
                <w:rFonts w:hint="eastAsia"/>
              </w:rPr>
              <w:t>采集设备专项检查记录表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8" w:type="dxa"/>
            <w:tcBorders>
              <w:top w:val="single" w:color="auto" w:sz="4" w:space="0"/>
            </w:tcBorders>
          </w:tcPr>
          <w:p>
            <w:pPr>
              <w:snapToGrid w:val="0"/>
              <w:spacing w:line="240" w:lineRule="auto"/>
              <w:ind w:firstLine="0" w:firstLineChars="0"/>
              <w:jc w:val="center"/>
              <w:rPr>
                <w:rFonts w:cs="Times New Roman"/>
                <w:sz w:val="21"/>
                <w:szCs w:val="21"/>
              </w:rPr>
            </w:pPr>
            <w:r>
              <w:rPr>
                <w:rFonts w:hint="eastAsia" w:cs="Times New Roman"/>
                <w:sz w:val="21"/>
                <w:szCs w:val="21"/>
              </w:rPr>
              <w:t>项目名称</w:t>
            </w:r>
          </w:p>
        </w:tc>
        <w:tc>
          <w:tcPr>
            <w:tcW w:w="7248" w:type="dxa"/>
            <w:gridSpan w:val="5"/>
            <w:tcBorders>
              <w:top w:val="single" w:color="auto" w:sz="4" w:space="0"/>
            </w:tcBorders>
          </w:tcPr>
          <w:p>
            <w:pPr>
              <w:snapToGrid w:val="0"/>
              <w:spacing w:line="240" w:lineRule="auto"/>
              <w:ind w:firstLine="0" w:firstLineChars="0"/>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058" w:type="dxa"/>
            <w:vMerge w:val="restart"/>
          </w:tcPr>
          <w:p>
            <w:pPr>
              <w:snapToGrid w:val="0"/>
              <w:spacing w:line="240" w:lineRule="auto"/>
              <w:ind w:firstLine="0" w:firstLineChars="0"/>
              <w:jc w:val="center"/>
              <w:rPr>
                <w:rFonts w:cs="Times New Roman"/>
                <w:sz w:val="21"/>
                <w:szCs w:val="21"/>
              </w:rPr>
            </w:pPr>
            <w:r>
              <w:rPr>
                <w:rFonts w:hint="eastAsia" w:cs="Times New Roman"/>
                <w:sz w:val="21"/>
                <w:szCs w:val="21"/>
              </w:rPr>
              <w:t>检查周期</w:t>
            </w:r>
          </w:p>
        </w:tc>
        <w:tc>
          <w:tcPr>
            <w:tcW w:w="1101" w:type="dxa"/>
            <w:vMerge w:val="restart"/>
          </w:tcPr>
          <w:p>
            <w:pPr>
              <w:snapToGrid w:val="0"/>
              <w:spacing w:line="240" w:lineRule="auto"/>
              <w:ind w:firstLine="0" w:firstLineChars="0"/>
              <w:jc w:val="center"/>
              <w:rPr>
                <w:rFonts w:cs="Times New Roman"/>
                <w:sz w:val="21"/>
                <w:szCs w:val="21"/>
              </w:rPr>
            </w:pPr>
          </w:p>
        </w:tc>
        <w:tc>
          <w:tcPr>
            <w:tcW w:w="902" w:type="dxa"/>
          </w:tcPr>
          <w:p>
            <w:pPr>
              <w:snapToGrid w:val="0"/>
              <w:spacing w:line="240" w:lineRule="auto"/>
              <w:ind w:firstLine="0" w:firstLineChars="0"/>
              <w:jc w:val="center"/>
              <w:rPr>
                <w:rFonts w:cs="Times New Roman"/>
                <w:sz w:val="21"/>
                <w:szCs w:val="21"/>
              </w:rPr>
            </w:pPr>
            <w:r>
              <w:rPr>
                <w:rFonts w:hint="eastAsia" w:cs="Times New Roman"/>
                <w:sz w:val="21"/>
                <w:szCs w:val="21"/>
              </w:rPr>
              <w:t>操作者</w:t>
            </w:r>
          </w:p>
        </w:tc>
        <w:tc>
          <w:tcPr>
            <w:tcW w:w="900" w:type="dxa"/>
          </w:tcPr>
          <w:p>
            <w:pPr>
              <w:snapToGrid w:val="0"/>
              <w:spacing w:line="240" w:lineRule="auto"/>
              <w:ind w:firstLine="0" w:firstLineChars="0"/>
              <w:jc w:val="center"/>
              <w:rPr>
                <w:rFonts w:cs="Times New Roman"/>
                <w:sz w:val="21"/>
                <w:szCs w:val="21"/>
              </w:rPr>
            </w:pPr>
          </w:p>
        </w:tc>
        <w:tc>
          <w:tcPr>
            <w:tcW w:w="1287" w:type="dxa"/>
            <w:vMerge w:val="restart"/>
          </w:tcPr>
          <w:p>
            <w:pPr>
              <w:snapToGrid w:val="0"/>
              <w:spacing w:line="240" w:lineRule="auto"/>
              <w:ind w:firstLine="0" w:firstLineChars="0"/>
              <w:jc w:val="center"/>
              <w:rPr>
                <w:rFonts w:cs="Times New Roman"/>
                <w:sz w:val="21"/>
                <w:szCs w:val="21"/>
              </w:rPr>
            </w:pPr>
            <w:r>
              <w:rPr>
                <w:rFonts w:hint="eastAsia" w:cs="Times New Roman"/>
                <w:sz w:val="21"/>
                <w:szCs w:val="21"/>
              </w:rPr>
              <w:t>起止时间</w:t>
            </w:r>
          </w:p>
        </w:tc>
        <w:tc>
          <w:tcPr>
            <w:tcW w:w="3058" w:type="dxa"/>
            <w:vMerge w:val="restart"/>
          </w:tcPr>
          <w:p>
            <w:pPr>
              <w:snapToGrid w:val="0"/>
              <w:spacing w:line="240" w:lineRule="auto"/>
              <w:ind w:firstLine="0" w:firstLineChars="0"/>
              <w:jc w:val="center"/>
              <w:rPr>
                <w:rFonts w:cs="Times New Roman"/>
                <w:kern w:val="0"/>
                <w:sz w:val="21"/>
                <w:szCs w:val="21"/>
              </w:rPr>
            </w:pPr>
            <w:r>
              <w:rPr>
                <w:rFonts w:hint="eastAsia" w:cs="Times New Roman"/>
                <w:kern w:val="0"/>
                <w:sz w:val="21"/>
                <w:szCs w:val="21"/>
              </w:rPr>
              <w:t>起：</w:t>
            </w:r>
            <w:r>
              <w:rPr>
                <w:rFonts w:cs="Times New Roman"/>
                <w:kern w:val="0"/>
                <w:sz w:val="21"/>
                <w:szCs w:val="21"/>
              </w:rPr>
              <w:t>____</w:t>
            </w:r>
            <w:r>
              <w:rPr>
                <w:rFonts w:hint="eastAsia" w:cs="Times New Roman"/>
                <w:kern w:val="0"/>
                <w:sz w:val="21"/>
                <w:szCs w:val="21"/>
              </w:rPr>
              <w:t>年</w:t>
            </w:r>
            <w:r>
              <w:rPr>
                <w:rFonts w:cs="Times New Roman"/>
                <w:kern w:val="0"/>
                <w:sz w:val="21"/>
                <w:szCs w:val="21"/>
              </w:rPr>
              <w:t>__</w:t>
            </w:r>
            <w:r>
              <w:rPr>
                <w:rFonts w:hint="eastAsia" w:cs="Times New Roman"/>
                <w:kern w:val="0"/>
                <w:sz w:val="21"/>
                <w:szCs w:val="21"/>
              </w:rPr>
              <w:t>月</w:t>
            </w:r>
            <w:r>
              <w:rPr>
                <w:rFonts w:cs="Times New Roman"/>
                <w:kern w:val="0"/>
                <w:sz w:val="21"/>
                <w:szCs w:val="21"/>
              </w:rPr>
              <w:t>__</w:t>
            </w:r>
            <w:r>
              <w:rPr>
                <w:rFonts w:hint="eastAsia" w:cs="Times New Roman"/>
                <w:kern w:val="0"/>
                <w:sz w:val="21"/>
                <w:szCs w:val="21"/>
              </w:rPr>
              <w:t>日</w:t>
            </w:r>
            <w:r>
              <w:rPr>
                <w:rFonts w:cs="Times New Roman"/>
                <w:kern w:val="0"/>
                <w:sz w:val="21"/>
                <w:szCs w:val="21"/>
              </w:rPr>
              <w:t>__</w:t>
            </w:r>
            <w:r>
              <w:rPr>
                <w:rFonts w:hint="eastAsia" w:cs="Times New Roman"/>
                <w:kern w:val="0"/>
                <w:sz w:val="21"/>
                <w:szCs w:val="21"/>
              </w:rPr>
              <w:t>时</w:t>
            </w:r>
            <w:r>
              <w:rPr>
                <w:rFonts w:cs="Times New Roman"/>
                <w:kern w:val="0"/>
                <w:sz w:val="21"/>
                <w:szCs w:val="21"/>
              </w:rPr>
              <w:t>__</w:t>
            </w:r>
            <w:r>
              <w:rPr>
                <w:rFonts w:hint="eastAsia" w:cs="Times New Roman"/>
                <w:kern w:val="0"/>
                <w:sz w:val="21"/>
                <w:szCs w:val="21"/>
              </w:rPr>
              <w:t>分</w:t>
            </w:r>
          </w:p>
          <w:p>
            <w:pPr>
              <w:snapToGrid w:val="0"/>
              <w:spacing w:line="240" w:lineRule="auto"/>
              <w:ind w:firstLine="0" w:firstLineChars="0"/>
              <w:jc w:val="center"/>
              <w:rPr>
                <w:rFonts w:cs="Times New Roman"/>
                <w:sz w:val="21"/>
                <w:szCs w:val="21"/>
              </w:rPr>
            </w:pPr>
            <w:r>
              <w:rPr>
                <w:rFonts w:hint="eastAsia" w:cs="Times New Roman"/>
                <w:kern w:val="0"/>
                <w:sz w:val="21"/>
                <w:szCs w:val="21"/>
              </w:rPr>
              <w:t>止：</w:t>
            </w:r>
            <w:r>
              <w:rPr>
                <w:rFonts w:cs="Times New Roman"/>
                <w:kern w:val="0"/>
                <w:sz w:val="21"/>
                <w:szCs w:val="21"/>
              </w:rPr>
              <w:t>____</w:t>
            </w:r>
            <w:r>
              <w:rPr>
                <w:rFonts w:hint="eastAsia" w:cs="Times New Roman"/>
                <w:kern w:val="0"/>
                <w:sz w:val="21"/>
                <w:szCs w:val="21"/>
              </w:rPr>
              <w:t>年</w:t>
            </w:r>
            <w:r>
              <w:rPr>
                <w:rFonts w:cs="Times New Roman"/>
                <w:kern w:val="0"/>
                <w:sz w:val="21"/>
                <w:szCs w:val="21"/>
              </w:rPr>
              <w:t>__</w:t>
            </w:r>
            <w:r>
              <w:rPr>
                <w:rFonts w:hint="eastAsia" w:cs="Times New Roman"/>
                <w:kern w:val="0"/>
                <w:sz w:val="21"/>
                <w:szCs w:val="21"/>
              </w:rPr>
              <w:t>月</w:t>
            </w:r>
            <w:r>
              <w:rPr>
                <w:rFonts w:cs="Times New Roman"/>
                <w:kern w:val="0"/>
                <w:sz w:val="21"/>
                <w:szCs w:val="21"/>
              </w:rPr>
              <w:t>__</w:t>
            </w:r>
            <w:r>
              <w:rPr>
                <w:rFonts w:hint="eastAsia" w:cs="Times New Roman"/>
                <w:kern w:val="0"/>
                <w:sz w:val="21"/>
                <w:szCs w:val="21"/>
              </w:rPr>
              <w:t>日</w:t>
            </w:r>
            <w:r>
              <w:rPr>
                <w:rFonts w:cs="Times New Roman"/>
                <w:kern w:val="0"/>
                <w:sz w:val="21"/>
                <w:szCs w:val="21"/>
              </w:rPr>
              <w:t>__</w:t>
            </w:r>
            <w:r>
              <w:rPr>
                <w:rFonts w:hint="eastAsia" w:cs="Times New Roman"/>
                <w:kern w:val="0"/>
                <w:sz w:val="21"/>
                <w:szCs w:val="21"/>
              </w:rPr>
              <w:t>时</w:t>
            </w:r>
            <w:r>
              <w:rPr>
                <w:rFonts w:cs="Times New Roman"/>
                <w:kern w:val="0"/>
                <w:sz w:val="21"/>
                <w:szCs w:val="21"/>
              </w:rPr>
              <w:t>__</w:t>
            </w:r>
            <w:r>
              <w:rPr>
                <w:rFonts w:hint="eastAsia" w:cs="Times New Roman"/>
                <w:kern w:val="0"/>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58" w:type="dxa"/>
            <w:vMerge w:val="continue"/>
          </w:tcPr>
          <w:p>
            <w:pPr>
              <w:snapToGrid w:val="0"/>
              <w:spacing w:line="240" w:lineRule="auto"/>
              <w:ind w:firstLine="0" w:firstLineChars="0"/>
              <w:jc w:val="center"/>
              <w:rPr>
                <w:rFonts w:cs="Times New Roman"/>
                <w:sz w:val="21"/>
                <w:szCs w:val="21"/>
              </w:rPr>
            </w:pPr>
          </w:p>
        </w:tc>
        <w:tc>
          <w:tcPr>
            <w:tcW w:w="1101" w:type="dxa"/>
            <w:vMerge w:val="continue"/>
          </w:tcPr>
          <w:p>
            <w:pPr>
              <w:snapToGrid w:val="0"/>
              <w:spacing w:line="240" w:lineRule="auto"/>
              <w:ind w:firstLine="0" w:firstLineChars="0"/>
              <w:jc w:val="center"/>
              <w:rPr>
                <w:rFonts w:cs="Times New Roman"/>
                <w:sz w:val="21"/>
                <w:szCs w:val="21"/>
              </w:rPr>
            </w:pPr>
          </w:p>
        </w:tc>
        <w:tc>
          <w:tcPr>
            <w:tcW w:w="902" w:type="dxa"/>
          </w:tcPr>
          <w:p>
            <w:pPr>
              <w:snapToGrid w:val="0"/>
              <w:spacing w:line="240" w:lineRule="auto"/>
              <w:ind w:firstLine="0" w:firstLineChars="0"/>
              <w:jc w:val="center"/>
              <w:rPr>
                <w:rFonts w:cs="Times New Roman"/>
                <w:sz w:val="21"/>
                <w:szCs w:val="21"/>
              </w:rPr>
            </w:pPr>
            <w:r>
              <w:rPr>
                <w:rFonts w:hint="eastAsia" w:cs="Times New Roman"/>
                <w:sz w:val="21"/>
                <w:szCs w:val="21"/>
              </w:rPr>
              <w:t>复核者</w:t>
            </w:r>
          </w:p>
        </w:tc>
        <w:tc>
          <w:tcPr>
            <w:tcW w:w="900" w:type="dxa"/>
          </w:tcPr>
          <w:p>
            <w:pPr>
              <w:snapToGrid w:val="0"/>
              <w:spacing w:line="240" w:lineRule="auto"/>
              <w:ind w:firstLine="0" w:firstLineChars="0"/>
              <w:jc w:val="center"/>
              <w:rPr>
                <w:rFonts w:cs="Times New Roman"/>
                <w:sz w:val="21"/>
                <w:szCs w:val="21"/>
              </w:rPr>
            </w:pPr>
          </w:p>
        </w:tc>
        <w:tc>
          <w:tcPr>
            <w:tcW w:w="1287" w:type="dxa"/>
            <w:vMerge w:val="continue"/>
          </w:tcPr>
          <w:p>
            <w:pPr>
              <w:snapToGrid w:val="0"/>
              <w:spacing w:line="240" w:lineRule="auto"/>
              <w:ind w:firstLine="0" w:firstLineChars="0"/>
              <w:jc w:val="center"/>
              <w:rPr>
                <w:rFonts w:cs="Times New Roman"/>
                <w:sz w:val="21"/>
                <w:szCs w:val="21"/>
              </w:rPr>
            </w:pPr>
          </w:p>
        </w:tc>
        <w:tc>
          <w:tcPr>
            <w:tcW w:w="3058" w:type="dxa"/>
            <w:vMerge w:val="continue"/>
          </w:tcPr>
          <w:p>
            <w:pPr>
              <w:snapToGrid w:val="0"/>
              <w:spacing w:line="240" w:lineRule="auto"/>
              <w:ind w:firstLine="0" w:firstLineChars="0"/>
              <w:jc w:val="center"/>
              <w:rPr>
                <w:rFonts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9" w:type="dxa"/>
            <w:gridSpan w:val="2"/>
          </w:tcPr>
          <w:p>
            <w:pPr>
              <w:snapToGrid w:val="0"/>
              <w:spacing w:line="240" w:lineRule="auto"/>
              <w:ind w:firstLine="0" w:firstLineChars="0"/>
              <w:jc w:val="center"/>
              <w:rPr>
                <w:rFonts w:cs="Times New Roman"/>
                <w:b/>
                <w:sz w:val="21"/>
                <w:szCs w:val="21"/>
              </w:rPr>
            </w:pPr>
            <w:r>
              <w:rPr>
                <w:rFonts w:hint="eastAsia" w:cs="Times New Roman"/>
                <w:b/>
                <w:sz w:val="21"/>
                <w:szCs w:val="21"/>
              </w:rPr>
              <w:t>检查项目</w:t>
            </w:r>
          </w:p>
        </w:tc>
        <w:tc>
          <w:tcPr>
            <w:tcW w:w="1802" w:type="dxa"/>
            <w:gridSpan w:val="2"/>
          </w:tcPr>
          <w:p>
            <w:pPr>
              <w:snapToGrid w:val="0"/>
              <w:spacing w:line="240" w:lineRule="auto"/>
              <w:ind w:firstLine="0" w:firstLineChars="0"/>
              <w:jc w:val="center"/>
              <w:rPr>
                <w:rFonts w:cs="Times New Roman"/>
                <w:b/>
                <w:sz w:val="21"/>
                <w:szCs w:val="21"/>
              </w:rPr>
            </w:pPr>
            <w:r>
              <w:rPr>
                <w:rFonts w:hint="eastAsia" w:cs="Times New Roman"/>
                <w:b/>
                <w:sz w:val="21"/>
                <w:szCs w:val="21"/>
              </w:rPr>
              <w:t>结论</w:t>
            </w:r>
          </w:p>
        </w:tc>
        <w:tc>
          <w:tcPr>
            <w:tcW w:w="1287" w:type="dxa"/>
          </w:tcPr>
          <w:p>
            <w:pPr>
              <w:snapToGrid w:val="0"/>
              <w:spacing w:line="240" w:lineRule="auto"/>
              <w:ind w:firstLine="0" w:firstLineChars="0"/>
              <w:jc w:val="center"/>
              <w:rPr>
                <w:rFonts w:cs="Times New Roman"/>
                <w:b/>
                <w:sz w:val="21"/>
                <w:szCs w:val="21"/>
              </w:rPr>
            </w:pPr>
            <w:r>
              <w:rPr>
                <w:rFonts w:hint="eastAsia" w:cs="Times New Roman"/>
                <w:b/>
                <w:sz w:val="21"/>
                <w:szCs w:val="21"/>
              </w:rPr>
              <w:t>设备编号</w:t>
            </w:r>
          </w:p>
        </w:tc>
        <w:tc>
          <w:tcPr>
            <w:tcW w:w="3058" w:type="dxa"/>
          </w:tcPr>
          <w:p>
            <w:pPr>
              <w:snapToGrid w:val="0"/>
              <w:spacing w:line="240" w:lineRule="auto"/>
              <w:ind w:firstLine="0" w:firstLineChars="0"/>
              <w:jc w:val="center"/>
              <w:rPr>
                <w:rFonts w:cs="Times New Roman"/>
                <w:b/>
                <w:sz w:val="21"/>
                <w:szCs w:val="21"/>
              </w:rPr>
            </w:pPr>
            <w:r>
              <w:rPr>
                <w:rFonts w:hint="eastAsia" w:cs="Times New Roman"/>
                <w:b/>
                <w:sz w:val="21"/>
                <w:szCs w:val="21"/>
              </w:rPr>
              <w:t>存在问题及维护情况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9"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数据采集设备工作状况</w:t>
            </w:r>
          </w:p>
        </w:tc>
        <w:tc>
          <w:tcPr>
            <w:tcW w:w="1802"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tcPr>
          <w:p>
            <w:pPr>
              <w:snapToGrid w:val="0"/>
              <w:spacing w:line="240" w:lineRule="auto"/>
              <w:ind w:firstLine="0" w:firstLineChars="0"/>
              <w:jc w:val="center"/>
              <w:rPr>
                <w:rFonts w:cs="Times New Roman"/>
                <w:sz w:val="21"/>
                <w:szCs w:val="21"/>
              </w:rPr>
            </w:pPr>
          </w:p>
        </w:tc>
        <w:tc>
          <w:tcPr>
            <w:tcW w:w="3058" w:type="dxa"/>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9"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数据传输设备工作状况</w:t>
            </w:r>
          </w:p>
        </w:tc>
        <w:tc>
          <w:tcPr>
            <w:tcW w:w="1802"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tcPr>
          <w:p>
            <w:pPr>
              <w:snapToGrid w:val="0"/>
              <w:spacing w:line="240" w:lineRule="auto"/>
              <w:ind w:firstLine="0" w:firstLineChars="0"/>
              <w:jc w:val="center"/>
              <w:rPr>
                <w:rFonts w:cs="Times New Roman"/>
                <w:sz w:val="21"/>
                <w:szCs w:val="21"/>
              </w:rPr>
            </w:pPr>
          </w:p>
        </w:tc>
        <w:tc>
          <w:tcPr>
            <w:tcW w:w="3058" w:type="dxa"/>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9"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数据存储设备工作状况</w:t>
            </w:r>
          </w:p>
        </w:tc>
        <w:tc>
          <w:tcPr>
            <w:tcW w:w="1802"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tcPr>
          <w:p>
            <w:pPr>
              <w:snapToGrid w:val="0"/>
              <w:spacing w:line="240" w:lineRule="auto"/>
              <w:ind w:firstLine="0" w:firstLineChars="0"/>
              <w:jc w:val="center"/>
              <w:rPr>
                <w:rFonts w:cs="Times New Roman"/>
                <w:sz w:val="21"/>
                <w:szCs w:val="21"/>
              </w:rPr>
            </w:pPr>
          </w:p>
        </w:tc>
        <w:tc>
          <w:tcPr>
            <w:tcW w:w="3058" w:type="dxa"/>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9"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数据显示设备工作状况</w:t>
            </w:r>
          </w:p>
        </w:tc>
        <w:tc>
          <w:tcPr>
            <w:tcW w:w="1802"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tcPr>
          <w:p>
            <w:pPr>
              <w:snapToGrid w:val="0"/>
              <w:spacing w:line="240" w:lineRule="auto"/>
              <w:ind w:firstLine="0" w:firstLineChars="0"/>
              <w:jc w:val="center"/>
              <w:rPr>
                <w:rFonts w:cs="Times New Roman"/>
                <w:sz w:val="21"/>
                <w:szCs w:val="21"/>
              </w:rPr>
            </w:pPr>
          </w:p>
        </w:tc>
        <w:tc>
          <w:tcPr>
            <w:tcW w:w="3058" w:type="dxa"/>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9"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设备除尘、除湿情况</w:t>
            </w:r>
          </w:p>
        </w:tc>
        <w:tc>
          <w:tcPr>
            <w:tcW w:w="1802"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tcPr>
          <w:p>
            <w:pPr>
              <w:snapToGrid w:val="0"/>
              <w:spacing w:line="240" w:lineRule="auto"/>
              <w:ind w:firstLine="0" w:firstLineChars="0"/>
              <w:jc w:val="center"/>
              <w:rPr>
                <w:rFonts w:cs="Times New Roman"/>
                <w:sz w:val="21"/>
                <w:szCs w:val="21"/>
              </w:rPr>
            </w:pPr>
          </w:p>
        </w:tc>
        <w:tc>
          <w:tcPr>
            <w:tcW w:w="3058" w:type="dxa"/>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9"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设备连接线情况</w:t>
            </w:r>
          </w:p>
        </w:tc>
        <w:tc>
          <w:tcPr>
            <w:tcW w:w="1802"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tcPr>
          <w:p>
            <w:pPr>
              <w:snapToGrid w:val="0"/>
              <w:spacing w:line="240" w:lineRule="auto"/>
              <w:ind w:firstLine="0" w:firstLineChars="0"/>
              <w:jc w:val="center"/>
              <w:rPr>
                <w:rFonts w:cs="Times New Roman"/>
                <w:sz w:val="21"/>
                <w:szCs w:val="21"/>
              </w:rPr>
            </w:pPr>
          </w:p>
        </w:tc>
        <w:tc>
          <w:tcPr>
            <w:tcW w:w="3058" w:type="dxa"/>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9"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数据存储设备的历史数据是否完整</w:t>
            </w:r>
          </w:p>
        </w:tc>
        <w:tc>
          <w:tcPr>
            <w:tcW w:w="1802"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tcPr>
          <w:p>
            <w:pPr>
              <w:snapToGrid w:val="0"/>
              <w:spacing w:line="240" w:lineRule="auto"/>
              <w:ind w:firstLine="0" w:firstLineChars="0"/>
              <w:jc w:val="center"/>
              <w:rPr>
                <w:rFonts w:cs="Times New Roman"/>
                <w:sz w:val="21"/>
                <w:szCs w:val="21"/>
              </w:rPr>
            </w:pPr>
          </w:p>
        </w:tc>
        <w:tc>
          <w:tcPr>
            <w:tcW w:w="3058" w:type="dxa"/>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9"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数据存储设备的磁盘检查和数据备份</w:t>
            </w:r>
          </w:p>
        </w:tc>
        <w:tc>
          <w:tcPr>
            <w:tcW w:w="1802"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tcPr>
          <w:p>
            <w:pPr>
              <w:snapToGrid w:val="0"/>
              <w:spacing w:line="240" w:lineRule="auto"/>
              <w:ind w:firstLine="0" w:firstLineChars="0"/>
              <w:jc w:val="center"/>
              <w:rPr>
                <w:rFonts w:cs="Times New Roman"/>
                <w:sz w:val="21"/>
                <w:szCs w:val="21"/>
              </w:rPr>
            </w:pPr>
          </w:p>
        </w:tc>
        <w:tc>
          <w:tcPr>
            <w:tcW w:w="3058" w:type="dxa"/>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9"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数据存储设备的不间断电源</w:t>
            </w:r>
          </w:p>
        </w:tc>
        <w:tc>
          <w:tcPr>
            <w:tcW w:w="1802"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tcPr>
          <w:p>
            <w:pPr>
              <w:snapToGrid w:val="0"/>
              <w:spacing w:line="240" w:lineRule="auto"/>
              <w:ind w:firstLine="0" w:firstLineChars="0"/>
              <w:jc w:val="center"/>
              <w:rPr>
                <w:rFonts w:cs="Times New Roman"/>
                <w:sz w:val="21"/>
                <w:szCs w:val="21"/>
              </w:rPr>
            </w:pPr>
          </w:p>
        </w:tc>
        <w:tc>
          <w:tcPr>
            <w:tcW w:w="3058" w:type="dxa"/>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9"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数据采集设备的环境要求（温湿度等）</w:t>
            </w:r>
          </w:p>
        </w:tc>
        <w:tc>
          <w:tcPr>
            <w:tcW w:w="1802"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tcPr>
          <w:p>
            <w:pPr>
              <w:snapToGrid w:val="0"/>
              <w:spacing w:line="240" w:lineRule="auto"/>
              <w:ind w:firstLine="0" w:firstLineChars="0"/>
              <w:jc w:val="center"/>
              <w:rPr>
                <w:rFonts w:cs="Times New Roman"/>
                <w:sz w:val="21"/>
                <w:szCs w:val="21"/>
              </w:rPr>
            </w:pPr>
          </w:p>
        </w:tc>
        <w:tc>
          <w:tcPr>
            <w:tcW w:w="3058" w:type="dxa"/>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9"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数据传输设备的环境要求（温湿度等）</w:t>
            </w:r>
          </w:p>
        </w:tc>
        <w:tc>
          <w:tcPr>
            <w:tcW w:w="1802"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tcPr>
          <w:p>
            <w:pPr>
              <w:snapToGrid w:val="0"/>
              <w:spacing w:line="240" w:lineRule="auto"/>
              <w:ind w:firstLine="0" w:firstLineChars="0"/>
              <w:jc w:val="center"/>
              <w:rPr>
                <w:rFonts w:cs="Times New Roman"/>
                <w:sz w:val="21"/>
                <w:szCs w:val="21"/>
              </w:rPr>
            </w:pPr>
          </w:p>
        </w:tc>
        <w:tc>
          <w:tcPr>
            <w:tcW w:w="3058" w:type="dxa"/>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9"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数据存储设备的环境要求（温湿度等）</w:t>
            </w:r>
          </w:p>
        </w:tc>
        <w:tc>
          <w:tcPr>
            <w:tcW w:w="1802"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tcPr>
          <w:p>
            <w:pPr>
              <w:snapToGrid w:val="0"/>
              <w:spacing w:line="240" w:lineRule="auto"/>
              <w:ind w:firstLine="0" w:firstLineChars="0"/>
              <w:jc w:val="center"/>
              <w:rPr>
                <w:rFonts w:cs="Times New Roman"/>
                <w:sz w:val="21"/>
                <w:szCs w:val="21"/>
              </w:rPr>
            </w:pPr>
          </w:p>
        </w:tc>
        <w:tc>
          <w:tcPr>
            <w:tcW w:w="3058" w:type="dxa"/>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9"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数据显示设备的环境要求（温湿度等）</w:t>
            </w:r>
          </w:p>
        </w:tc>
        <w:tc>
          <w:tcPr>
            <w:tcW w:w="1802"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tcPr>
          <w:p>
            <w:pPr>
              <w:snapToGrid w:val="0"/>
              <w:spacing w:line="240" w:lineRule="auto"/>
              <w:ind w:firstLine="0" w:firstLineChars="0"/>
              <w:jc w:val="center"/>
              <w:rPr>
                <w:rFonts w:cs="Times New Roman"/>
                <w:sz w:val="21"/>
                <w:szCs w:val="21"/>
              </w:rPr>
            </w:pPr>
          </w:p>
        </w:tc>
        <w:tc>
          <w:tcPr>
            <w:tcW w:w="3058" w:type="dxa"/>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9"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机柜空调、热交换器以及风扇等温控设备</w:t>
            </w:r>
          </w:p>
        </w:tc>
        <w:tc>
          <w:tcPr>
            <w:tcW w:w="1802"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tcPr>
          <w:p>
            <w:pPr>
              <w:snapToGrid w:val="0"/>
              <w:spacing w:line="240" w:lineRule="auto"/>
              <w:ind w:firstLine="0" w:firstLineChars="0"/>
              <w:jc w:val="center"/>
              <w:rPr>
                <w:rFonts w:cs="Times New Roman"/>
                <w:sz w:val="21"/>
                <w:szCs w:val="21"/>
              </w:rPr>
            </w:pPr>
          </w:p>
        </w:tc>
        <w:tc>
          <w:tcPr>
            <w:tcW w:w="3058" w:type="dxa"/>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9"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设备电池工作情况</w:t>
            </w:r>
          </w:p>
        </w:tc>
        <w:tc>
          <w:tcPr>
            <w:tcW w:w="1802"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tcPr>
          <w:p>
            <w:pPr>
              <w:snapToGrid w:val="0"/>
              <w:spacing w:line="240" w:lineRule="auto"/>
              <w:ind w:firstLine="0" w:firstLineChars="0"/>
              <w:jc w:val="center"/>
              <w:rPr>
                <w:rFonts w:cs="Times New Roman"/>
                <w:sz w:val="21"/>
                <w:szCs w:val="21"/>
              </w:rPr>
            </w:pPr>
          </w:p>
        </w:tc>
        <w:tc>
          <w:tcPr>
            <w:tcW w:w="3058" w:type="dxa"/>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9"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设备的拆卸、安装情况</w:t>
            </w:r>
          </w:p>
        </w:tc>
        <w:tc>
          <w:tcPr>
            <w:tcW w:w="1802"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tcPr>
          <w:p>
            <w:pPr>
              <w:snapToGrid w:val="0"/>
              <w:spacing w:line="240" w:lineRule="auto"/>
              <w:ind w:firstLine="0" w:firstLineChars="0"/>
              <w:jc w:val="center"/>
              <w:rPr>
                <w:rFonts w:cs="Times New Roman"/>
                <w:sz w:val="21"/>
                <w:szCs w:val="21"/>
              </w:rPr>
            </w:pPr>
          </w:p>
        </w:tc>
        <w:tc>
          <w:tcPr>
            <w:tcW w:w="3058" w:type="dxa"/>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9" w:type="dxa"/>
            <w:gridSpan w:val="2"/>
          </w:tcPr>
          <w:p>
            <w:pPr>
              <w:snapToGrid w:val="0"/>
              <w:spacing w:line="240" w:lineRule="auto"/>
              <w:ind w:firstLine="0" w:firstLineChars="0"/>
              <w:jc w:val="center"/>
              <w:rPr>
                <w:rFonts w:cs="Times New Roman"/>
                <w:sz w:val="21"/>
                <w:szCs w:val="21"/>
              </w:rPr>
            </w:pPr>
            <w:r>
              <w:rPr>
                <w:rFonts w:hint="eastAsia" w:cs="Times New Roman"/>
                <w:sz w:val="21"/>
                <w:szCs w:val="21"/>
              </w:rPr>
              <w:t>其他情况</w:t>
            </w:r>
          </w:p>
        </w:tc>
        <w:tc>
          <w:tcPr>
            <w:tcW w:w="6147" w:type="dxa"/>
            <w:gridSpan w:val="4"/>
          </w:tcPr>
          <w:p>
            <w:pPr>
              <w:snapToGrid w:val="0"/>
              <w:spacing w:line="240" w:lineRule="auto"/>
              <w:ind w:firstLine="0" w:firstLineChars="0"/>
              <w:jc w:val="center"/>
              <w:rPr>
                <w:rFonts w:cs="Times New Roman"/>
                <w:sz w:val="21"/>
                <w:szCs w:val="21"/>
              </w:rPr>
            </w:pPr>
          </w:p>
        </w:tc>
      </w:tr>
    </w:tbl>
    <w:p>
      <w:pPr>
        <w:ind w:firstLine="0" w:firstLineChars="0"/>
      </w:pPr>
    </w:p>
    <w:p>
      <w:pPr>
        <w:widowControl/>
        <w:spacing w:line="240" w:lineRule="auto"/>
        <w:ind w:firstLine="0" w:firstLineChars="0"/>
        <w:jc w:val="left"/>
      </w:pPr>
      <w:r>
        <w:br w:type="page"/>
      </w:r>
    </w:p>
    <w:tbl>
      <w:tblPr>
        <w:tblStyle w:val="44"/>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1101"/>
        <w:gridCol w:w="902"/>
        <w:gridCol w:w="900"/>
        <w:gridCol w:w="1287"/>
        <w:gridCol w:w="3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gridSpan w:val="6"/>
            <w:tcBorders>
              <w:top w:val="nil"/>
              <w:left w:val="nil"/>
              <w:right w:val="nil"/>
            </w:tcBorders>
          </w:tcPr>
          <w:p>
            <w:pPr>
              <w:pStyle w:val="38"/>
              <w:rPr>
                <w:rFonts w:eastAsia="黑体"/>
                <w:szCs w:val="21"/>
              </w:rPr>
            </w:pPr>
            <w:r>
              <w:t>表B.</w:t>
            </w:r>
            <w:r>
              <w:fldChar w:fldCharType="begin"/>
            </w:r>
            <w:r>
              <w:instrText xml:space="preserve"> SEQ 附录表B \* ARABIC </w:instrText>
            </w:r>
            <w:r>
              <w:fldChar w:fldCharType="separate"/>
            </w:r>
            <w:r>
              <w:t>6</w:t>
            </w:r>
            <w:r>
              <w:fldChar w:fldCharType="end"/>
            </w:r>
            <w:r>
              <w:rPr>
                <w:rFonts w:hint="eastAsia"/>
              </w:rPr>
              <w:t>系统软件专项检查记录表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tcPr>
          <w:p>
            <w:pPr>
              <w:snapToGrid w:val="0"/>
              <w:spacing w:line="240" w:lineRule="auto"/>
              <w:ind w:firstLine="0" w:firstLineChars="0"/>
              <w:jc w:val="center"/>
              <w:rPr>
                <w:rFonts w:cs="Times New Roman"/>
                <w:sz w:val="21"/>
                <w:szCs w:val="21"/>
              </w:rPr>
            </w:pPr>
            <w:r>
              <w:rPr>
                <w:rFonts w:cs="Times New Roman"/>
                <w:sz w:val="21"/>
                <w:szCs w:val="21"/>
              </w:rPr>
              <w:t>项目名称</w:t>
            </w:r>
          </w:p>
        </w:tc>
        <w:tc>
          <w:tcPr>
            <w:tcW w:w="7247" w:type="dxa"/>
            <w:gridSpan w:val="5"/>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059" w:type="dxa"/>
            <w:vMerge w:val="restart"/>
          </w:tcPr>
          <w:p>
            <w:pPr>
              <w:snapToGrid w:val="0"/>
              <w:spacing w:line="240" w:lineRule="auto"/>
              <w:ind w:firstLine="0" w:firstLineChars="0"/>
              <w:jc w:val="center"/>
              <w:rPr>
                <w:rFonts w:cs="Times New Roman"/>
                <w:sz w:val="21"/>
                <w:szCs w:val="21"/>
              </w:rPr>
            </w:pPr>
            <w:r>
              <w:rPr>
                <w:rFonts w:hint="eastAsia" w:cs="Times New Roman"/>
                <w:sz w:val="21"/>
                <w:szCs w:val="21"/>
              </w:rPr>
              <w:t>检查</w:t>
            </w:r>
            <w:r>
              <w:rPr>
                <w:rFonts w:cs="Times New Roman"/>
                <w:sz w:val="21"/>
                <w:szCs w:val="21"/>
              </w:rPr>
              <w:t>周期</w:t>
            </w:r>
          </w:p>
        </w:tc>
        <w:tc>
          <w:tcPr>
            <w:tcW w:w="1101" w:type="dxa"/>
            <w:vMerge w:val="restart"/>
          </w:tcPr>
          <w:p>
            <w:pPr>
              <w:snapToGrid w:val="0"/>
              <w:spacing w:line="240" w:lineRule="auto"/>
              <w:ind w:firstLine="0" w:firstLineChars="0"/>
              <w:jc w:val="center"/>
              <w:rPr>
                <w:rFonts w:cs="Times New Roman"/>
                <w:sz w:val="21"/>
                <w:szCs w:val="21"/>
              </w:rPr>
            </w:pPr>
          </w:p>
        </w:tc>
        <w:tc>
          <w:tcPr>
            <w:tcW w:w="902" w:type="dxa"/>
          </w:tcPr>
          <w:p>
            <w:pPr>
              <w:snapToGrid w:val="0"/>
              <w:spacing w:line="240" w:lineRule="auto"/>
              <w:ind w:firstLine="0" w:firstLineChars="0"/>
              <w:jc w:val="center"/>
              <w:rPr>
                <w:rFonts w:cs="Times New Roman"/>
                <w:sz w:val="21"/>
                <w:szCs w:val="21"/>
              </w:rPr>
            </w:pPr>
            <w:r>
              <w:rPr>
                <w:rFonts w:cs="Times New Roman"/>
                <w:sz w:val="21"/>
                <w:szCs w:val="21"/>
              </w:rPr>
              <w:t>操作者</w:t>
            </w:r>
          </w:p>
        </w:tc>
        <w:tc>
          <w:tcPr>
            <w:tcW w:w="900" w:type="dxa"/>
          </w:tcPr>
          <w:p>
            <w:pPr>
              <w:snapToGrid w:val="0"/>
              <w:spacing w:line="240" w:lineRule="auto"/>
              <w:ind w:firstLine="0" w:firstLineChars="0"/>
              <w:jc w:val="center"/>
              <w:rPr>
                <w:rFonts w:cs="Times New Roman"/>
                <w:sz w:val="21"/>
                <w:szCs w:val="21"/>
              </w:rPr>
            </w:pPr>
          </w:p>
        </w:tc>
        <w:tc>
          <w:tcPr>
            <w:tcW w:w="1287" w:type="dxa"/>
            <w:vMerge w:val="restart"/>
          </w:tcPr>
          <w:p>
            <w:pPr>
              <w:snapToGrid w:val="0"/>
              <w:spacing w:line="240" w:lineRule="auto"/>
              <w:ind w:firstLine="0" w:firstLineChars="0"/>
              <w:jc w:val="center"/>
              <w:rPr>
                <w:rFonts w:cs="Times New Roman"/>
                <w:sz w:val="21"/>
                <w:szCs w:val="21"/>
              </w:rPr>
            </w:pPr>
            <w:r>
              <w:rPr>
                <w:rFonts w:cs="Times New Roman"/>
                <w:sz w:val="21"/>
                <w:szCs w:val="21"/>
              </w:rPr>
              <w:t>起止时间</w:t>
            </w:r>
          </w:p>
        </w:tc>
        <w:tc>
          <w:tcPr>
            <w:tcW w:w="3057" w:type="dxa"/>
            <w:vMerge w:val="restart"/>
          </w:tcPr>
          <w:p>
            <w:pPr>
              <w:snapToGrid w:val="0"/>
              <w:spacing w:line="240" w:lineRule="auto"/>
              <w:ind w:firstLine="0" w:firstLineChars="0"/>
              <w:jc w:val="center"/>
              <w:rPr>
                <w:rFonts w:cs="Times New Roman"/>
                <w:sz w:val="21"/>
                <w:szCs w:val="21"/>
              </w:rPr>
            </w:pPr>
            <w:r>
              <w:rPr>
                <w:rFonts w:cs="Times New Roman"/>
                <w:sz w:val="21"/>
                <w:szCs w:val="21"/>
              </w:rPr>
              <w:t>起：____年__月__日__时__分</w:t>
            </w:r>
          </w:p>
          <w:p>
            <w:pPr>
              <w:snapToGrid w:val="0"/>
              <w:spacing w:line="240" w:lineRule="auto"/>
              <w:ind w:firstLine="0" w:firstLineChars="0"/>
              <w:jc w:val="center"/>
              <w:rPr>
                <w:rFonts w:cs="Times New Roman"/>
                <w:sz w:val="21"/>
                <w:szCs w:val="21"/>
              </w:rPr>
            </w:pPr>
            <w:r>
              <w:rPr>
                <w:rFonts w:cs="Times New Roman"/>
                <w:sz w:val="21"/>
                <w:szCs w:val="21"/>
              </w:rPr>
              <w:t>止：____年__月__日__时__分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59" w:type="dxa"/>
            <w:vMerge w:val="continue"/>
          </w:tcPr>
          <w:p>
            <w:pPr>
              <w:snapToGrid w:val="0"/>
              <w:spacing w:line="240" w:lineRule="auto"/>
              <w:ind w:firstLine="0" w:firstLineChars="0"/>
              <w:jc w:val="center"/>
              <w:rPr>
                <w:rFonts w:cs="Times New Roman"/>
                <w:sz w:val="21"/>
                <w:szCs w:val="21"/>
              </w:rPr>
            </w:pPr>
          </w:p>
        </w:tc>
        <w:tc>
          <w:tcPr>
            <w:tcW w:w="1101" w:type="dxa"/>
            <w:vMerge w:val="continue"/>
          </w:tcPr>
          <w:p>
            <w:pPr>
              <w:snapToGrid w:val="0"/>
              <w:spacing w:line="240" w:lineRule="auto"/>
              <w:ind w:firstLine="0" w:firstLineChars="0"/>
              <w:jc w:val="center"/>
              <w:rPr>
                <w:rFonts w:cs="Times New Roman"/>
                <w:sz w:val="21"/>
                <w:szCs w:val="21"/>
              </w:rPr>
            </w:pPr>
          </w:p>
        </w:tc>
        <w:tc>
          <w:tcPr>
            <w:tcW w:w="902" w:type="dxa"/>
          </w:tcPr>
          <w:p>
            <w:pPr>
              <w:snapToGrid w:val="0"/>
              <w:spacing w:line="240" w:lineRule="auto"/>
              <w:ind w:firstLine="0" w:firstLineChars="0"/>
              <w:jc w:val="center"/>
              <w:rPr>
                <w:rFonts w:cs="Times New Roman"/>
                <w:sz w:val="21"/>
                <w:szCs w:val="21"/>
              </w:rPr>
            </w:pPr>
            <w:r>
              <w:rPr>
                <w:rFonts w:cs="Times New Roman"/>
                <w:sz w:val="21"/>
                <w:szCs w:val="21"/>
              </w:rPr>
              <w:t>复核者</w:t>
            </w:r>
          </w:p>
        </w:tc>
        <w:tc>
          <w:tcPr>
            <w:tcW w:w="900" w:type="dxa"/>
          </w:tcPr>
          <w:p>
            <w:pPr>
              <w:snapToGrid w:val="0"/>
              <w:spacing w:line="240" w:lineRule="auto"/>
              <w:ind w:firstLine="0" w:firstLineChars="0"/>
              <w:jc w:val="center"/>
              <w:rPr>
                <w:rFonts w:cs="Times New Roman"/>
                <w:sz w:val="21"/>
                <w:szCs w:val="21"/>
              </w:rPr>
            </w:pPr>
          </w:p>
        </w:tc>
        <w:tc>
          <w:tcPr>
            <w:tcW w:w="1287" w:type="dxa"/>
            <w:vMerge w:val="continue"/>
          </w:tcPr>
          <w:p>
            <w:pPr>
              <w:snapToGrid w:val="0"/>
              <w:spacing w:line="240" w:lineRule="auto"/>
              <w:ind w:firstLine="0" w:firstLineChars="0"/>
              <w:jc w:val="center"/>
              <w:rPr>
                <w:rFonts w:cs="Times New Roman"/>
                <w:sz w:val="21"/>
                <w:szCs w:val="21"/>
              </w:rPr>
            </w:pPr>
          </w:p>
        </w:tc>
        <w:tc>
          <w:tcPr>
            <w:tcW w:w="3057" w:type="dxa"/>
            <w:vMerge w:val="continue"/>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gridSpan w:val="2"/>
          </w:tcPr>
          <w:p>
            <w:pPr>
              <w:snapToGrid w:val="0"/>
              <w:spacing w:line="240" w:lineRule="auto"/>
              <w:ind w:firstLine="0" w:firstLineChars="0"/>
              <w:jc w:val="center"/>
              <w:rPr>
                <w:rFonts w:cs="Times New Roman"/>
                <w:b/>
                <w:sz w:val="21"/>
                <w:szCs w:val="21"/>
              </w:rPr>
            </w:pPr>
            <w:r>
              <w:rPr>
                <w:rFonts w:cs="Times New Roman"/>
                <w:b/>
                <w:sz w:val="21"/>
                <w:szCs w:val="21"/>
              </w:rPr>
              <w:t>检查项目</w:t>
            </w:r>
          </w:p>
        </w:tc>
        <w:tc>
          <w:tcPr>
            <w:tcW w:w="1802" w:type="dxa"/>
            <w:gridSpan w:val="2"/>
          </w:tcPr>
          <w:p>
            <w:pPr>
              <w:snapToGrid w:val="0"/>
              <w:spacing w:line="240" w:lineRule="auto"/>
              <w:ind w:firstLine="0" w:firstLineChars="0"/>
              <w:jc w:val="center"/>
              <w:rPr>
                <w:rFonts w:cs="Times New Roman"/>
                <w:b/>
                <w:sz w:val="21"/>
                <w:szCs w:val="21"/>
              </w:rPr>
            </w:pPr>
            <w:r>
              <w:rPr>
                <w:rFonts w:cs="Times New Roman"/>
                <w:b/>
                <w:sz w:val="21"/>
                <w:szCs w:val="21"/>
              </w:rPr>
              <w:t>结论</w:t>
            </w:r>
          </w:p>
        </w:tc>
        <w:tc>
          <w:tcPr>
            <w:tcW w:w="1287" w:type="dxa"/>
          </w:tcPr>
          <w:p>
            <w:pPr>
              <w:snapToGrid w:val="0"/>
              <w:spacing w:line="240" w:lineRule="auto"/>
              <w:ind w:firstLine="0" w:firstLineChars="0"/>
              <w:jc w:val="center"/>
              <w:rPr>
                <w:rFonts w:cs="Times New Roman"/>
                <w:b/>
                <w:sz w:val="21"/>
                <w:szCs w:val="21"/>
              </w:rPr>
            </w:pPr>
            <w:r>
              <w:rPr>
                <w:rFonts w:cs="Times New Roman"/>
                <w:b/>
                <w:sz w:val="21"/>
                <w:szCs w:val="21"/>
              </w:rPr>
              <w:t>编号</w:t>
            </w:r>
          </w:p>
        </w:tc>
        <w:tc>
          <w:tcPr>
            <w:tcW w:w="3057" w:type="dxa"/>
          </w:tcPr>
          <w:p>
            <w:pPr>
              <w:snapToGrid w:val="0"/>
              <w:spacing w:line="240" w:lineRule="auto"/>
              <w:ind w:firstLine="0" w:firstLineChars="0"/>
              <w:jc w:val="center"/>
              <w:rPr>
                <w:rFonts w:cs="Times New Roman"/>
                <w:b/>
                <w:sz w:val="21"/>
                <w:szCs w:val="21"/>
              </w:rPr>
            </w:pPr>
            <w:r>
              <w:rPr>
                <w:rFonts w:cs="Times New Roman"/>
                <w:b/>
                <w:sz w:val="21"/>
                <w:szCs w:val="21"/>
              </w:rPr>
              <w:t>存在问题及维护情况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gridSpan w:val="2"/>
          </w:tcPr>
          <w:p>
            <w:pPr>
              <w:snapToGrid w:val="0"/>
              <w:spacing w:line="240" w:lineRule="auto"/>
              <w:ind w:firstLine="0" w:firstLineChars="0"/>
              <w:jc w:val="center"/>
              <w:rPr>
                <w:rFonts w:cs="Times New Roman"/>
                <w:sz w:val="21"/>
                <w:szCs w:val="21"/>
              </w:rPr>
            </w:pPr>
            <w:r>
              <w:rPr>
                <w:rFonts w:cs="Times New Roman"/>
                <w:sz w:val="21"/>
                <w:szCs w:val="21"/>
              </w:rPr>
              <w:t>软件运行是否流畅</w:t>
            </w:r>
          </w:p>
        </w:tc>
        <w:tc>
          <w:tcPr>
            <w:tcW w:w="1802" w:type="dxa"/>
            <w:gridSpan w:val="2"/>
          </w:tcPr>
          <w:p>
            <w:pPr>
              <w:snapToGrid w:val="0"/>
              <w:spacing w:line="240" w:lineRule="auto"/>
              <w:ind w:firstLine="0" w:firstLineChars="0"/>
              <w:jc w:val="center"/>
              <w:rPr>
                <w:rFonts w:cs="Times New Roman"/>
                <w:sz w:val="21"/>
                <w:szCs w:val="21"/>
              </w:rPr>
            </w:pPr>
            <w:r>
              <w:rPr>
                <w:rFonts w:cs="Times New Roman"/>
                <w:sz w:val="21"/>
                <w:szCs w:val="21"/>
              </w:rPr>
              <w:t>□正常 □异常</w:t>
            </w:r>
          </w:p>
        </w:tc>
        <w:tc>
          <w:tcPr>
            <w:tcW w:w="1287" w:type="dxa"/>
          </w:tcPr>
          <w:p>
            <w:pPr>
              <w:snapToGrid w:val="0"/>
              <w:spacing w:line="240" w:lineRule="auto"/>
              <w:ind w:firstLine="0" w:firstLineChars="0"/>
              <w:jc w:val="center"/>
              <w:rPr>
                <w:rFonts w:cs="Times New Roman"/>
                <w:sz w:val="21"/>
                <w:szCs w:val="21"/>
              </w:rPr>
            </w:pPr>
          </w:p>
        </w:tc>
        <w:tc>
          <w:tcPr>
            <w:tcW w:w="3057" w:type="dxa"/>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gridSpan w:val="2"/>
          </w:tcPr>
          <w:p>
            <w:pPr>
              <w:snapToGrid w:val="0"/>
              <w:spacing w:line="240" w:lineRule="auto"/>
              <w:ind w:firstLine="0" w:firstLineChars="0"/>
              <w:jc w:val="center"/>
              <w:rPr>
                <w:rFonts w:cs="Times New Roman"/>
                <w:sz w:val="21"/>
                <w:szCs w:val="21"/>
              </w:rPr>
            </w:pPr>
            <w:r>
              <w:rPr>
                <w:rFonts w:cs="Times New Roman"/>
                <w:sz w:val="21"/>
                <w:szCs w:val="21"/>
              </w:rPr>
              <w:t>软件日志是否正常</w:t>
            </w:r>
          </w:p>
        </w:tc>
        <w:tc>
          <w:tcPr>
            <w:tcW w:w="1802" w:type="dxa"/>
            <w:gridSpan w:val="2"/>
          </w:tcPr>
          <w:p>
            <w:pPr>
              <w:snapToGrid w:val="0"/>
              <w:spacing w:line="240" w:lineRule="auto"/>
              <w:ind w:firstLine="0" w:firstLineChars="0"/>
              <w:jc w:val="center"/>
              <w:rPr>
                <w:rFonts w:cs="Times New Roman"/>
                <w:sz w:val="21"/>
                <w:szCs w:val="21"/>
              </w:rPr>
            </w:pPr>
            <w:r>
              <w:rPr>
                <w:rFonts w:cs="Times New Roman"/>
                <w:sz w:val="21"/>
                <w:szCs w:val="21"/>
              </w:rPr>
              <w:t>□正常 □异常</w:t>
            </w:r>
          </w:p>
        </w:tc>
        <w:tc>
          <w:tcPr>
            <w:tcW w:w="1287" w:type="dxa"/>
          </w:tcPr>
          <w:p>
            <w:pPr>
              <w:snapToGrid w:val="0"/>
              <w:spacing w:line="240" w:lineRule="auto"/>
              <w:ind w:firstLine="0" w:firstLineChars="0"/>
              <w:jc w:val="center"/>
              <w:rPr>
                <w:rFonts w:cs="Times New Roman"/>
                <w:sz w:val="21"/>
                <w:szCs w:val="21"/>
              </w:rPr>
            </w:pPr>
          </w:p>
        </w:tc>
        <w:tc>
          <w:tcPr>
            <w:tcW w:w="3057" w:type="dxa"/>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gridSpan w:val="2"/>
          </w:tcPr>
          <w:p>
            <w:pPr>
              <w:snapToGrid w:val="0"/>
              <w:spacing w:line="240" w:lineRule="auto"/>
              <w:ind w:firstLine="0" w:firstLineChars="0"/>
              <w:jc w:val="center"/>
              <w:rPr>
                <w:rFonts w:cs="Times New Roman"/>
                <w:sz w:val="21"/>
                <w:szCs w:val="21"/>
              </w:rPr>
            </w:pPr>
            <w:r>
              <w:rPr>
                <w:rFonts w:cs="Times New Roman"/>
                <w:sz w:val="21"/>
                <w:szCs w:val="21"/>
              </w:rPr>
              <w:t>软件自动恢复功能</w:t>
            </w:r>
          </w:p>
        </w:tc>
        <w:tc>
          <w:tcPr>
            <w:tcW w:w="1802" w:type="dxa"/>
            <w:gridSpan w:val="2"/>
          </w:tcPr>
          <w:p>
            <w:pPr>
              <w:snapToGrid w:val="0"/>
              <w:spacing w:line="240" w:lineRule="auto"/>
              <w:ind w:firstLine="0" w:firstLineChars="0"/>
              <w:jc w:val="center"/>
              <w:rPr>
                <w:rFonts w:cs="Times New Roman"/>
                <w:sz w:val="21"/>
                <w:szCs w:val="21"/>
              </w:rPr>
            </w:pPr>
            <w:r>
              <w:rPr>
                <w:rFonts w:cs="Times New Roman"/>
                <w:sz w:val="21"/>
                <w:szCs w:val="21"/>
              </w:rPr>
              <w:t>□正常 □异常</w:t>
            </w:r>
          </w:p>
        </w:tc>
        <w:tc>
          <w:tcPr>
            <w:tcW w:w="1287" w:type="dxa"/>
          </w:tcPr>
          <w:p>
            <w:pPr>
              <w:snapToGrid w:val="0"/>
              <w:spacing w:line="240" w:lineRule="auto"/>
              <w:ind w:firstLine="0" w:firstLineChars="0"/>
              <w:jc w:val="center"/>
              <w:rPr>
                <w:rFonts w:cs="Times New Roman"/>
                <w:sz w:val="21"/>
                <w:szCs w:val="21"/>
              </w:rPr>
            </w:pPr>
          </w:p>
        </w:tc>
        <w:tc>
          <w:tcPr>
            <w:tcW w:w="3057" w:type="dxa"/>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gridSpan w:val="2"/>
          </w:tcPr>
          <w:p>
            <w:pPr>
              <w:snapToGrid w:val="0"/>
              <w:spacing w:line="240" w:lineRule="auto"/>
              <w:ind w:firstLine="0" w:firstLineChars="0"/>
              <w:jc w:val="center"/>
              <w:rPr>
                <w:rFonts w:cs="Times New Roman"/>
                <w:sz w:val="21"/>
                <w:szCs w:val="21"/>
              </w:rPr>
            </w:pPr>
            <w:r>
              <w:rPr>
                <w:rFonts w:cs="Times New Roman"/>
                <w:sz w:val="21"/>
                <w:szCs w:val="21"/>
              </w:rPr>
              <w:t>数据备份功能</w:t>
            </w:r>
          </w:p>
        </w:tc>
        <w:tc>
          <w:tcPr>
            <w:tcW w:w="1802" w:type="dxa"/>
            <w:gridSpan w:val="2"/>
          </w:tcPr>
          <w:p>
            <w:pPr>
              <w:snapToGrid w:val="0"/>
              <w:spacing w:line="240" w:lineRule="auto"/>
              <w:ind w:firstLine="0" w:firstLineChars="0"/>
              <w:jc w:val="center"/>
              <w:rPr>
                <w:rFonts w:cs="Times New Roman"/>
                <w:sz w:val="21"/>
                <w:szCs w:val="21"/>
              </w:rPr>
            </w:pPr>
            <w:r>
              <w:rPr>
                <w:rFonts w:cs="Times New Roman"/>
                <w:sz w:val="21"/>
                <w:szCs w:val="21"/>
              </w:rPr>
              <w:t>□正常 □异常</w:t>
            </w:r>
          </w:p>
        </w:tc>
        <w:tc>
          <w:tcPr>
            <w:tcW w:w="1287" w:type="dxa"/>
          </w:tcPr>
          <w:p>
            <w:pPr>
              <w:snapToGrid w:val="0"/>
              <w:spacing w:line="240" w:lineRule="auto"/>
              <w:ind w:firstLine="0" w:firstLineChars="0"/>
              <w:jc w:val="center"/>
              <w:rPr>
                <w:rFonts w:cs="Times New Roman"/>
                <w:sz w:val="21"/>
                <w:szCs w:val="21"/>
              </w:rPr>
            </w:pPr>
          </w:p>
        </w:tc>
        <w:tc>
          <w:tcPr>
            <w:tcW w:w="3057" w:type="dxa"/>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gridSpan w:val="2"/>
          </w:tcPr>
          <w:p>
            <w:pPr>
              <w:snapToGrid w:val="0"/>
              <w:spacing w:line="240" w:lineRule="auto"/>
              <w:ind w:firstLine="0" w:firstLineChars="0"/>
              <w:jc w:val="center"/>
              <w:rPr>
                <w:rFonts w:cs="Times New Roman"/>
                <w:sz w:val="21"/>
                <w:szCs w:val="21"/>
              </w:rPr>
            </w:pPr>
            <w:r>
              <w:rPr>
                <w:rFonts w:cs="Times New Roman"/>
                <w:sz w:val="21"/>
                <w:szCs w:val="21"/>
              </w:rPr>
              <w:t>数据分析功能</w:t>
            </w:r>
          </w:p>
        </w:tc>
        <w:tc>
          <w:tcPr>
            <w:tcW w:w="1802" w:type="dxa"/>
            <w:gridSpan w:val="2"/>
          </w:tcPr>
          <w:p>
            <w:pPr>
              <w:snapToGrid w:val="0"/>
              <w:spacing w:line="240" w:lineRule="auto"/>
              <w:ind w:firstLine="0" w:firstLineChars="0"/>
              <w:jc w:val="center"/>
              <w:rPr>
                <w:rFonts w:cs="Times New Roman"/>
                <w:sz w:val="21"/>
                <w:szCs w:val="21"/>
              </w:rPr>
            </w:pPr>
            <w:r>
              <w:rPr>
                <w:rFonts w:cs="Times New Roman"/>
                <w:sz w:val="21"/>
                <w:szCs w:val="21"/>
              </w:rPr>
              <w:t>□正常 □异常</w:t>
            </w:r>
          </w:p>
        </w:tc>
        <w:tc>
          <w:tcPr>
            <w:tcW w:w="1287" w:type="dxa"/>
          </w:tcPr>
          <w:p>
            <w:pPr>
              <w:snapToGrid w:val="0"/>
              <w:spacing w:line="240" w:lineRule="auto"/>
              <w:ind w:firstLine="0" w:firstLineChars="0"/>
              <w:jc w:val="center"/>
              <w:rPr>
                <w:rFonts w:cs="Times New Roman"/>
                <w:sz w:val="21"/>
                <w:szCs w:val="21"/>
              </w:rPr>
            </w:pPr>
          </w:p>
        </w:tc>
        <w:tc>
          <w:tcPr>
            <w:tcW w:w="3057" w:type="dxa"/>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gridSpan w:val="2"/>
          </w:tcPr>
          <w:p>
            <w:pPr>
              <w:snapToGrid w:val="0"/>
              <w:spacing w:line="240" w:lineRule="auto"/>
              <w:ind w:firstLine="0" w:firstLineChars="0"/>
              <w:jc w:val="center"/>
              <w:rPr>
                <w:rFonts w:cs="Times New Roman"/>
                <w:sz w:val="21"/>
                <w:szCs w:val="21"/>
              </w:rPr>
            </w:pPr>
            <w:r>
              <w:rPr>
                <w:rFonts w:cs="Times New Roman"/>
                <w:sz w:val="21"/>
                <w:szCs w:val="21"/>
              </w:rPr>
              <w:t>系统软件病毒检测</w:t>
            </w:r>
          </w:p>
        </w:tc>
        <w:tc>
          <w:tcPr>
            <w:tcW w:w="1802" w:type="dxa"/>
            <w:gridSpan w:val="2"/>
          </w:tcPr>
          <w:p>
            <w:pPr>
              <w:snapToGrid w:val="0"/>
              <w:spacing w:line="240" w:lineRule="auto"/>
              <w:ind w:firstLine="0" w:firstLineChars="0"/>
              <w:jc w:val="center"/>
              <w:rPr>
                <w:rFonts w:cs="Times New Roman"/>
                <w:sz w:val="21"/>
                <w:szCs w:val="21"/>
              </w:rPr>
            </w:pPr>
            <w:r>
              <w:rPr>
                <w:rFonts w:cs="Times New Roman"/>
                <w:sz w:val="21"/>
                <w:szCs w:val="21"/>
              </w:rPr>
              <w:t>□正常 □异常</w:t>
            </w:r>
          </w:p>
        </w:tc>
        <w:tc>
          <w:tcPr>
            <w:tcW w:w="1287" w:type="dxa"/>
          </w:tcPr>
          <w:p>
            <w:pPr>
              <w:snapToGrid w:val="0"/>
              <w:spacing w:line="240" w:lineRule="auto"/>
              <w:ind w:firstLine="0" w:firstLineChars="0"/>
              <w:jc w:val="center"/>
              <w:rPr>
                <w:rFonts w:cs="Times New Roman"/>
                <w:sz w:val="21"/>
                <w:szCs w:val="21"/>
              </w:rPr>
            </w:pPr>
          </w:p>
        </w:tc>
        <w:tc>
          <w:tcPr>
            <w:tcW w:w="3057" w:type="dxa"/>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gridSpan w:val="2"/>
          </w:tcPr>
          <w:p>
            <w:pPr>
              <w:snapToGrid w:val="0"/>
              <w:spacing w:line="240" w:lineRule="auto"/>
              <w:ind w:firstLine="0" w:firstLineChars="0"/>
              <w:jc w:val="center"/>
              <w:rPr>
                <w:rFonts w:cs="Times New Roman"/>
                <w:sz w:val="21"/>
                <w:szCs w:val="21"/>
              </w:rPr>
            </w:pPr>
            <w:r>
              <w:rPr>
                <w:rFonts w:cs="Times New Roman"/>
                <w:sz w:val="21"/>
                <w:szCs w:val="21"/>
              </w:rPr>
              <w:t>软件是否需要升级</w:t>
            </w:r>
          </w:p>
        </w:tc>
        <w:tc>
          <w:tcPr>
            <w:tcW w:w="1802" w:type="dxa"/>
            <w:gridSpan w:val="2"/>
          </w:tcPr>
          <w:p>
            <w:pPr>
              <w:snapToGrid w:val="0"/>
              <w:spacing w:line="240" w:lineRule="auto"/>
              <w:ind w:firstLine="0" w:firstLineChars="0"/>
              <w:jc w:val="center"/>
              <w:rPr>
                <w:rFonts w:cs="Times New Roman"/>
                <w:sz w:val="21"/>
                <w:szCs w:val="21"/>
              </w:rPr>
            </w:pPr>
            <w:r>
              <w:rPr>
                <w:rFonts w:cs="Times New Roman"/>
                <w:sz w:val="21"/>
                <w:szCs w:val="21"/>
              </w:rPr>
              <w:t>□</w:t>
            </w:r>
            <w:r>
              <w:rPr>
                <w:rFonts w:hint="eastAsia" w:cs="Times New Roman"/>
                <w:sz w:val="21"/>
                <w:szCs w:val="21"/>
              </w:rPr>
              <w:t>是</w:t>
            </w:r>
            <w:r>
              <w:rPr>
                <w:rFonts w:cs="Times New Roman"/>
                <w:sz w:val="21"/>
                <w:szCs w:val="21"/>
              </w:rPr>
              <w:t xml:space="preserve"> □</w:t>
            </w:r>
            <w:r>
              <w:rPr>
                <w:rFonts w:hint="eastAsia" w:cs="Times New Roman"/>
                <w:sz w:val="21"/>
                <w:szCs w:val="21"/>
              </w:rPr>
              <w:t>否</w:t>
            </w:r>
          </w:p>
        </w:tc>
        <w:tc>
          <w:tcPr>
            <w:tcW w:w="1287" w:type="dxa"/>
          </w:tcPr>
          <w:p>
            <w:pPr>
              <w:snapToGrid w:val="0"/>
              <w:spacing w:line="240" w:lineRule="auto"/>
              <w:ind w:firstLine="0" w:firstLineChars="0"/>
              <w:jc w:val="center"/>
              <w:rPr>
                <w:rFonts w:cs="Times New Roman"/>
                <w:sz w:val="21"/>
                <w:szCs w:val="21"/>
              </w:rPr>
            </w:pPr>
          </w:p>
        </w:tc>
        <w:tc>
          <w:tcPr>
            <w:tcW w:w="3057" w:type="dxa"/>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gridSpan w:val="2"/>
          </w:tcPr>
          <w:p>
            <w:pPr>
              <w:snapToGrid w:val="0"/>
              <w:spacing w:line="240" w:lineRule="auto"/>
              <w:ind w:firstLine="0" w:firstLineChars="0"/>
              <w:jc w:val="center"/>
              <w:rPr>
                <w:rFonts w:cs="Times New Roman"/>
                <w:sz w:val="21"/>
                <w:szCs w:val="21"/>
              </w:rPr>
            </w:pPr>
            <w:r>
              <w:rPr>
                <w:rFonts w:cs="Times New Roman"/>
                <w:sz w:val="21"/>
                <w:szCs w:val="21"/>
              </w:rPr>
              <w:t>其他情况</w:t>
            </w:r>
          </w:p>
        </w:tc>
        <w:tc>
          <w:tcPr>
            <w:tcW w:w="6146" w:type="dxa"/>
            <w:gridSpan w:val="4"/>
          </w:tcPr>
          <w:p>
            <w:pPr>
              <w:snapToGrid w:val="0"/>
              <w:spacing w:line="240" w:lineRule="auto"/>
              <w:ind w:firstLine="0" w:firstLineChars="0"/>
              <w:jc w:val="center"/>
              <w:rPr>
                <w:rFonts w:cs="Times New Roman"/>
                <w:sz w:val="21"/>
                <w:szCs w:val="21"/>
              </w:rPr>
            </w:pPr>
          </w:p>
        </w:tc>
      </w:tr>
    </w:tbl>
    <w:p>
      <w:pPr>
        <w:ind w:firstLine="0" w:firstLineChars="0"/>
      </w:pPr>
    </w:p>
    <w:p>
      <w:pPr>
        <w:widowControl/>
        <w:spacing w:line="240" w:lineRule="auto"/>
        <w:ind w:firstLine="0" w:firstLineChars="0"/>
        <w:jc w:val="left"/>
      </w:pPr>
      <w:r>
        <w:br w:type="page"/>
      </w:r>
    </w:p>
    <w:tbl>
      <w:tblPr>
        <w:tblStyle w:val="23"/>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802"/>
        <w:gridCol w:w="1287"/>
        <w:gridCol w:w="3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gridSpan w:val="4"/>
            <w:tcBorders>
              <w:top w:val="nil"/>
              <w:left w:val="nil"/>
              <w:bottom w:val="single" w:color="auto" w:sz="4" w:space="0"/>
              <w:right w:val="nil"/>
            </w:tcBorders>
            <w:vAlign w:val="center"/>
          </w:tcPr>
          <w:p>
            <w:pPr>
              <w:pStyle w:val="38"/>
              <w:rPr>
                <w:rFonts w:eastAsia="黑体" w:cs="Times New Roman"/>
              </w:rPr>
            </w:pPr>
            <w:r>
              <w:t>表B.</w:t>
            </w:r>
            <w:r>
              <w:fldChar w:fldCharType="begin"/>
            </w:r>
            <w:r>
              <w:instrText xml:space="preserve"> SEQ 附录表B \* ARABIC </w:instrText>
            </w:r>
            <w:r>
              <w:fldChar w:fldCharType="separate"/>
            </w:r>
            <w:r>
              <w:t>7</w:t>
            </w:r>
            <w:r>
              <w:fldChar w:fldCharType="end"/>
            </w:r>
            <w:r>
              <w:rPr>
                <w:b/>
                <w:bCs/>
              </w:rPr>
              <w:t xml:space="preserve"> </w:t>
            </w:r>
            <w:r>
              <w:rPr>
                <w:rFonts w:hint="eastAsia"/>
                <w:kern w:val="21"/>
              </w:rPr>
              <w:t>传感器异常检查记录表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tcBorders>
            <w:vAlign w:val="center"/>
          </w:tcPr>
          <w:p>
            <w:pPr>
              <w:snapToGrid w:val="0"/>
              <w:spacing w:line="240" w:lineRule="auto"/>
              <w:ind w:firstLine="0" w:firstLineChars="0"/>
              <w:jc w:val="center"/>
              <w:rPr>
                <w:rFonts w:cs="Times New Roman"/>
                <w:sz w:val="21"/>
                <w:szCs w:val="21"/>
              </w:rPr>
            </w:pPr>
            <w:r>
              <w:rPr>
                <w:rFonts w:hint="eastAsia" w:cs="Times New Roman"/>
                <w:sz w:val="21"/>
                <w:szCs w:val="21"/>
              </w:rPr>
              <w:t>项目名称</w:t>
            </w:r>
          </w:p>
        </w:tc>
        <w:tc>
          <w:tcPr>
            <w:tcW w:w="6146" w:type="dxa"/>
            <w:gridSpan w:val="3"/>
            <w:tcBorders>
              <w:top w:val="single" w:color="auto" w:sz="4" w:space="0"/>
            </w:tcBorders>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传感器异常检查原因</w:t>
            </w:r>
          </w:p>
        </w:tc>
        <w:tc>
          <w:tcPr>
            <w:tcW w:w="6146" w:type="dxa"/>
            <w:gridSpan w:val="3"/>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操作者</w:t>
            </w:r>
          </w:p>
        </w:tc>
        <w:tc>
          <w:tcPr>
            <w:tcW w:w="1802" w:type="dxa"/>
            <w:vAlign w:val="center"/>
          </w:tcPr>
          <w:p>
            <w:pPr>
              <w:snapToGrid w:val="0"/>
              <w:spacing w:line="240" w:lineRule="auto"/>
              <w:ind w:firstLine="0" w:firstLineChars="0"/>
              <w:jc w:val="center"/>
              <w:rPr>
                <w:rFonts w:cs="Times New Roman"/>
                <w:sz w:val="21"/>
                <w:szCs w:val="21"/>
              </w:rPr>
            </w:pPr>
          </w:p>
        </w:tc>
        <w:tc>
          <w:tcPr>
            <w:tcW w:w="1287" w:type="dxa"/>
            <w:vMerge w:val="restart"/>
            <w:vAlign w:val="center"/>
          </w:tcPr>
          <w:p>
            <w:pPr>
              <w:snapToGrid w:val="0"/>
              <w:spacing w:line="240" w:lineRule="auto"/>
              <w:ind w:firstLine="0" w:firstLineChars="0"/>
              <w:jc w:val="center"/>
              <w:rPr>
                <w:rFonts w:cs="Times New Roman"/>
                <w:sz w:val="21"/>
                <w:szCs w:val="21"/>
              </w:rPr>
            </w:pPr>
            <w:r>
              <w:rPr>
                <w:rFonts w:hint="eastAsia" w:cs="Times New Roman"/>
                <w:sz w:val="21"/>
                <w:szCs w:val="21"/>
              </w:rPr>
              <w:t>起止时间</w:t>
            </w:r>
          </w:p>
        </w:tc>
        <w:tc>
          <w:tcPr>
            <w:tcW w:w="3057" w:type="dxa"/>
            <w:vMerge w:val="restart"/>
            <w:vAlign w:val="center"/>
          </w:tcPr>
          <w:p>
            <w:pPr>
              <w:snapToGrid w:val="0"/>
              <w:spacing w:line="240" w:lineRule="auto"/>
              <w:ind w:firstLine="0" w:firstLineChars="0"/>
              <w:jc w:val="center"/>
              <w:rPr>
                <w:rFonts w:cs="Times New Roman"/>
                <w:kern w:val="0"/>
                <w:sz w:val="21"/>
                <w:szCs w:val="21"/>
              </w:rPr>
            </w:pPr>
            <w:r>
              <w:rPr>
                <w:rFonts w:hint="eastAsia" w:cs="Times New Roman"/>
                <w:kern w:val="0"/>
                <w:sz w:val="21"/>
                <w:szCs w:val="21"/>
              </w:rPr>
              <w:t>起：</w:t>
            </w:r>
            <w:r>
              <w:rPr>
                <w:rFonts w:cs="Times New Roman"/>
                <w:kern w:val="0"/>
                <w:sz w:val="21"/>
                <w:szCs w:val="21"/>
              </w:rPr>
              <w:t>____</w:t>
            </w:r>
            <w:r>
              <w:rPr>
                <w:rFonts w:hint="eastAsia" w:cs="Times New Roman"/>
                <w:kern w:val="0"/>
                <w:sz w:val="21"/>
                <w:szCs w:val="21"/>
              </w:rPr>
              <w:t>年</w:t>
            </w:r>
            <w:r>
              <w:rPr>
                <w:rFonts w:cs="Times New Roman"/>
                <w:kern w:val="0"/>
                <w:sz w:val="21"/>
                <w:szCs w:val="21"/>
              </w:rPr>
              <w:t>__</w:t>
            </w:r>
            <w:r>
              <w:rPr>
                <w:rFonts w:hint="eastAsia" w:cs="Times New Roman"/>
                <w:kern w:val="0"/>
                <w:sz w:val="21"/>
                <w:szCs w:val="21"/>
              </w:rPr>
              <w:t>月</w:t>
            </w:r>
            <w:r>
              <w:rPr>
                <w:rFonts w:cs="Times New Roman"/>
                <w:kern w:val="0"/>
                <w:sz w:val="21"/>
                <w:szCs w:val="21"/>
              </w:rPr>
              <w:t>__</w:t>
            </w:r>
            <w:r>
              <w:rPr>
                <w:rFonts w:hint="eastAsia" w:cs="Times New Roman"/>
                <w:kern w:val="0"/>
                <w:sz w:val="21"/>
                <w:szCs w:val="21"/>
              </w:rPr>
              <w:t>日</w:t>
            </w:r>
            <w:r>
              <w:rPr>
                <w:rFonts w:cs="Times New Roman"/>
                <w:kern w:val="0"/>
                <w:sz w:val="21"/>
                <w:szCs w:val="21"/>
              </w:rPr>
              <w:t>__</w:t>
            </w:r>
            <w:r>
              <w:rPr>
                <w:rFonts w:hint="eastAsia" w:cs="Times New Roman"/>
                <w:kern w:val="0"/>
                <w:sz w:val="21"/>
                <w:szCs w:val="21"/>
              </w:rPr>
              <w:t>时</w:t>
            </w:r>
            <w:r>
              <w:rPr>
                <w:rFonts w:cs="Times New Roman"/>
                <w:kern w:val="0"/>
                <w:sz w:val="21"/>
                <w:szCs w:val="21"/>
              </w:rPr>
              <w:t>__</w:t>
            </w:r>
            <w:r>
              <w:rPr>
                <w:rFonts w:hint="eastAsia" w:cs="Times New Roman"/>
                <w:kern w:val="0"/>
                <w:sz w:val="21"/>
                <w:szCs w:val="21"/>
              </w:rPr>
              <w:t>分</w:t>
            </w:r>
          </w:p>
          <w:p>
            <w:pPr>
              <w:snapToGrid w:val="0"/>
              <w:spacing w:line="240" w:lineRule="auto"/>
              <w:ind w:firstLine="0" w:firstLineChars="0"/>
              <w:jc w:val="center"/>
              <w:rPr>
                <w:rFonts w:cs="Times New Roman"/>
                <w:sz w:val="21"/>
                <w:szCs w:val="21"/>
              </w:rPr>
            </w:pPr>
            <w:r>
              <w:rPr>
                <w:rFonts w:hint="eastAsia" w:cs="Times New Roman"/>
                <w:kern w:val="0"/>
                <w:sz w:val="21"/>
                <w:szCs w:val="21"/>
              </w:rPr>
              <w:t>止：</w:t>
            </w:r>
            <w:r>
              <w:rPr>
                <w:rFonts w:cs="Times New Roman"/>
                <w:kern w:val="0"/>
                <w:sz w:val="21"/>
                <w:szCs w:val="21"/>
              </w:rPr>
              <w:t>____</w:t>
            </w:r>
            <w:r>
              <w:rPr>
                <w:rFonts w:hint="eastAsia" w:cs="Times New Roman"/>
                <w:kern w:val="0"/>
                <w:sz w:val="21"/>
                <w:szCs w:val="21"/>
              </w:rPr>
              <w:t>年</w:t>
            </w:r>
            <w:r>
              <w:rPr>
                <w:rFonts w:cs="Times New Roman"/>
                <w:kern w:val="0"/>
                <w:sz w:val="21"/>
                <w:szCs w:val="21"/>
              </w:rPr>
              <w:t>__</w:t>
            </w:r>
            <w:r>
              <w:rPr>
                <w:rFonts w:hint="eastAsia" w:cs="Times New Roman"/>
                <w:kern w:val="0"/>
                <w:sz w:val="21"/>
                <w:szCs w:val="21"/>
              </w:rPr>
              <w:t>月</w:t>
            </w:r>
            <w:r>
              <w:rPr>
                <w:rFonts w:cs="Times New Roman"/>
                <w:kern w:val="0"/>
                <w:sz w:val="21"/>
                <w:szCs w:val="21"/>
              </w:rPr>
              <w:t>__</w:t>
            </w:r>
            <w:r>
              <w:rPr>
                <w:rFonts w:hint="eastAsia" w:cs="Times New Roman"/>
                <w:kern w:val="0"/>
                <w:sz w:val="21"/>
                <w:szCs w:val="21"/>
              </w:rPr>
              <w:t>日</w:t>
            </w:r>
            <w:r>
              <w:rPr>
                <w:rFonts w:cs="Times New Roman"/>
                <w:kern w:val="0"/>
                <w:sz w:val="21"/>
                <w:szCs w:val="21"/>
              </w:rPr>
              <w:t>__</w:t>
            </w:r>
            <w:r>
              <w:rPr>
                <w:rFonts w:hint="eastAsia" w:cs="Times New Roman"/>
                <w:kern w:val="0"/>
                <w:sz w:val="21"/>
                <w:szCs w:val="21"/>
              </w:rPr>
              <w:t>时</w:t>
            </w:r>
            <w:r>
              <w:rPr>
                <w:rFonts w:cs="Times New Roman"/>
                <w:kern w:val="0"/>
                <w:sz w:val="21"/>
                <w:szCs w:val="21"/>
              </w:rPr>
              <w:t>__</w:t>
            </w:r>
            <w:r>
              <w:rPr>
                <w:rFonts w:hint="eastAsia" w:cs="Times New Roman"/>
                <w:kern w:val="0"/>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复核者</w:t>
            </w:r>
          </w:p>
        </w:tc>
        <w:tc>
          <w:tcPr>
            <w:tcW w:w="1802" w:type="dxa"/>
            <w:vAlign w:val="center"/>
          </w:tcPr>
          <w:p>
            <w:pPr>
              <w:snapToGrid w:val="0"/>
              <w:spacing w:line="240" w:lineRule="auto"/>
              <w:ind w:firstLine="0" w:firstLineChars="0"/>
              <w:jc w:val="center"/>
              <w:rPr>
                <w:rFonts w:cs="Times New Roman"/>
                <w:sz w:val="21"/>
                <w:szCs w:val="21"/>
              </w:rPr>
            </w:pPr>
          </w:p>
        </w:tc>
        <w:tc>
          <w:tcPr>
            <w:tcW w:w="1287" w:type="dxa"/>
            <w:vMerge w:val="continue"/>
            <w:vAlign w:val="center"/>
          </w:tcPr>
          <w:p>
            <w:pPr>
              <w:snapToGrid w:val="0"/>
              <w:spacing w:line="240" w:lineRule="auto"/>
              <w:ind w:firstLine="0" w:firstLineChars="0"/>
              <w:jc w:val="center"/>
              <w:rPr>
                <w:rFonts w:cs="Times New Roman"/>
                <w:sz w:val="21"/>
                <w:szCs w:val="21"/>
              </w:rPr>
            </w:pPr>
          </w:p>
        </w:tc>
        <w:tc>
          <w:tcPr>
            <w:tcW w:w="3057" w:type="dxa"/>
            <w:vMerge w:val="continue"/>
            <w:vAlign w:val="center"/>
          </w:tcPr>
          <w:p>
            <w:pPr>
              <w:snapToGrid w:val="0"/>
              <w:spacing w:line="240" w:lineRule="auto"/>
              <w:ind w:firstLine="0" w:firstLineChars="0"/>
              <w:jc w:val="center"/>
              <w:rPr>
                <w:rFonts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b/>
                <w:sz w:val="21"/>
                <w:szCs w:val="21"/>
              </w:rPr>
            </w:pPr>
            <w:r>
              <w:rPr>
                <w:rFonts w:hint="eastAsia" w:cs="Times New Roman"/>
                <w:b/>
                <w:sz w:val="21"/>
                <w:szCs w:val="21"/>
              </w:rPr>
              <w:t>检查项目</w:t>
            </w:r>
          </w:p>
        </w:tc>
        <w:tc>
          <w:tcPr>
            <w:tcW w:w="1802" w:type="dxa"/>
            <w:vAlign w:val="center"/>
          </w:tcPr>
          <w:p>
            <w:pPr>
              <w:snapToGrid w:val="0"/>
              <w:spacing w:line="240" w:lineRule="auto"/>
              <w:ind w:firstLine="0" w:firstLineChars="0"/>
              <w:jc w:val="center"/>
              <w:rPr>
                <w:rFonts w:cs="Times New Roman"/>
                <w:b/>
                <w:sz w:val="21"/>
                <w:szCs w:val="21"/>
              </w:rPr>
            </w:pPr>
            <w:r>
              <w:rPr>
                <w:rFonts w:hint="eastAsia" w:cs="Times New Roman"/>
                <w:b/>
                <w:sz w:val="21"/>
                <w:szCs w:val="21"/>
              </w:rPr>
              <w:t>结论</w:t>
            </w:r>
          </w:p>
        </w:tc>
        <w:tc>
          <w:tcPr>
            <w:tcW w:w="1287" w:type="dxa"/>
            <w:vAlign w:val="center"/>
          </w:tcPr>
          <w:p>
            <w:pPr>
              <w:snapToGrid w:val="0"/>
              <w:spacing w:line="240" w:lineRule="auto"/>
              <w:ind w:firstLine="0" w:firstLineChars="0"/>
              <w:jc w:val="center"/>
              <w:rPr>
                <w:rFonts w:cs="Times New Roman"/>
                <w:b/>
                <w:sz w:val="21"/>
                <w:szCs w:val="21"/>
              </w:rPr>
            </w:pPr>
            <w:r>
              <w:rPr>
                <w:rFonts w:hint="eastAsia" w:cs="Times New Roman"/>
                <w:b/>
                <w:sz w:val="21"/>
                <w:szCs w:val="21"/>
              </w:rPr>
              <w:t>传感器编号</w:t>
            </w:r>
          </w:p>
        </w:tc>
        <w:tc>
          <w:tcPr>
            <w:tcW w:w="3057" w:type="dxa"/>
            <w:vAlign w:val="center"/>
          </w:tcPr>
          <w:p>
            <w:pPr>
              <w:snapToGrid w:val="0"/>
              <w:spacing w:line="240" w:lineRule="auto"/>
              <w:ind w:firstLine="0" w:firstLineChars="0"/>
              <w:jc w:val="center"/>
              <w:rPr>
                <w:rFonts w:cs="Times New Roman"/>
                <w:b/>
                <w:sz w:val="21"/>
                <w:szCs w:val="21"/>
              </w:rPr>
            </w:pPr>
            <w:r>
              <w:rPr>
                <w:rFonts w:hint="eastAsia" w:cs="Times New Roman"/>
                <w:b/>
                <w:sz w:val="21"/>
                <w:szCs w:val="21"/>
              </w:rPr>
              <w:t>存在问题及维护情况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风速仪</w:t>
            </w:r>
          </w:p>
        </w:tc>
        <w:tc>
          <w:tcPr>
            <w:tcW w:w="1802"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温度、湿度、雨量传感器</w:t>
            </w:r>
          </w:p>
        </w:tc>
        <w:tc>
          <w:tcPr>
            <w:tcW w:w="1802"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车辆荷载传感器</w:t>
            </w:r>
          </w:p>
        </w:tc>
        <w:tc>
          <w:tcPr>
            <w:tcW w:w="1802"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数字摄像设备</w:t>
            </w:r>
          </w:p>
        </w:tc>
        <w:tc>
          <w:tcPr>
            <w:tcW w:w="1802"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挠度传感器</w:t>
            </w:r>
          </w:p>
        </w:tc>
        <w:tc>
          <w:tcPr>
            <w:tcW w:w="1802"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位移传感器</w:t>
            </w:r>
          </w:p>
        </w:tc>
        <w:tc>
          <w:tcPr>
            <w:tcW w:w="1802"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振动</w:t>
            </w:r>
            <w:r>
              <w:rPr>
                <w:rFonts w:cs="Times New Roman"/>
                <w:sz w:val="21"/>
                <w:szCs w:val="21"/>
              </w:rPr>
              <w:t>/</w:t>
            </w:r>
            <w:r>
              <w:rPr>
                <w:rFonts w:hint="eastAsia" w:cs="Times New Roman"/>
                <w:sz w:val="21"/>
                <w:szCs w:val="21"/>
              </w:rPr>
              <w:t>加速度传感器</w:t>
            </w:r>
          </w:p>
        </w:tc>
        <w:tc>
          <w:tcPr>
            <w:tcW w:w="1802"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倾角传感器</w:t>
            </w:r>
          </w:p>
        </w:tc>
        <w:tc>
          <w:tcPr>
            <w:tcW w:w="1802"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cs="Times New Roman"/>
                <w:sz w:val="21"/>
                <w:szCs w:val="21"/>
              </w:rPr>
              <w:t>GPS/</w:t>
            </w:r>
            <w:r>
              <w:rPr>
                <w:rFonts w:hint="eastAsia" w:cs="Times New Roman"/>
                <w:sz w:val="21"/>
                <w:szCs w:val="21"/>
              </w:rPr>
              <w:t>北斗传感器</w:t>
            </w:r>
          </w:p>
        </w:tc>
        <w:tc>
          <w:tcPr>
            <w:tcW w:w="1802"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应变传感器</w:t>
            </w:r>
          </w:p>
        </w:tc>
        <w:tc>
          <w:tcPr>
            <w:tcW w:w="1802"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索力传感器</w:t>
            </w:r>
          </w:p>
        </w:tc>
        <w:tc>
          <w:tcPr>
            <w:tcW w:w="1802"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cs="Times New Roman"/>
                <w:sz w:val="21"/>
                <w:szCs w:val="21"/>
              </w:rPr>
              <w:t>……</w:t>
            </w:r>
          </w:p>
        </w:tc>
        <w:tc>
          <w:tcPr>
            <w:tcW w:w="1802" w:type="dxa"/>
            <w:vAlign w:val="center"/>
          </w:tcPr>
          <w:p>
            <w:pPr>
              <w:snapToGrid w:val="0"/>
              <w:spacing w:line="240" w:lineRule="auto"/>
              <w:ind w:firstLine="0" w:firstLineChars="0"/>
              <w:jc w:val="center"/>
              <w:rPr>
                <w:rFonts w:cs="Times New Roman"/>
                <w:sz w:val="21"/>
                <w:szCs w:val="21"/>
              </w:rPr>
            </w:pP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传感器工作环境</w:t>
            </w:r>
          </w:p>
        </w:tc>
        <w:tc>
          <w:tcPr>
            <w:tcW w:w="1802"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传感器防护措施</w:t>
            </w:r>
          </w:p>
        </w:tc>
        <w:tc>
          <w:tcPr>
            <w:tcW w:w="1802"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传感器线缆</w:t>
            </w:r>
          </w:p>
        </w:tc>
        <w:tc>
          <w:tcPr>
            <w:tcW w:w="1802"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其他情况</w:t>
            </w:r>
          </w:p>
        </w:tc>
        <w:tc>
          <w:tcPr>
            <w:tcW w:w="6146" w:type="dxa"/>
            <w:gridSpan w:val="3"/>
            <w:vAlign w:val="center"/>
          </w:tcPr>
          <w:p>
            <w:pPr>
              <w:snapToGrid w:val="0"/>
              <w:spacing w:line="240" w:lineRule="auto"/>
              <w:ind w:firstLine="0" w:firstLineChars="0"/>
              <w:jc w:val="center"/>
              <w:rPr>
                <w:rFonts w:cs="Times New Roman"/>
                <w:sz w:val="21"/>
                <w:szCs w:val="21"/>
              </w:rPr>
            </w:pPr>
          </w:p>
        </w:tc>
      </w:tr>
    </w:tbl>
    <w:p>
      <w:pPr>
        <w:ind w:firstLine="0" w:firstLineChars="0"/>
      </w:pPr>
    </w:p>
    <w:p>
      <w:pPr>
        <w:widowControl/>
        <w:spacing w:line="240" w:lineRule="auto"/>
        <w:ind w:firstLine="0" w:firstLineChars="0"/>
        <w:jc w:val="left"/>
      </w:pPr>
      <w:r>
        <w:br w:type="page"/>
      </w:r>
    </w:p>
    <w:tbl>
      <w:tblPr>
        <w:tblStyle w:val="23"/>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802"/>
        <w:gridCol w:w="1287"/>
        <w:gridCol w:w="3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gridSpan w:val="4"/>
            <w:tcBorders>
              <w:top w:val="nil"/>
              <w:left w:val="nil"/>
              <w:bottom w:val="single" w:color="auto" w:sz="4" w:space="0"/>
              <w:right w:val="nil"/>
            </w:tcBorders>
            <w:vAlign w:val="center"/>
          </w:tcPr>
          <w:p>
            <w:pPr>
              <w:pStyle w:val="38"/>
              <w:rPr>
                <w:rFonts w:eastAsia="黑体" w:cs="Times New Roman"/>
              </w:rPr>
            </w:pPr>
            <w:r>
              <w:t>表B.</w:t>
            </w:r>
            <w:r>
              <w:fldChar w:fldCharType="begin"/>
            </w:r>
            <w:r>
              <w:instrText xml:space="preserve"> SEQ 附录表B \* ARABIC </w:instrText>
            </w:r>
            <w:r>
              <w:fldChar w:fldCharType="separate"/>
            </w:r>
            <w:r>
              <w:t>8</w:t>
            </w:r>
            <w:r>
              <w:fldChar w:fldCharType="end"/>
            </w:r>
            <w:r>
              <w:rPr>
                <w:b/>
                <w:bCs/>
              </w:rPr>
              <w:t xml:space="preserve"> </w:t>
            </w:r>
            <w:r>
              <w:rPr>
                <w:rFonts w:hint="eastAsia"/>
                <w:kern w:val="21"/>
              </w:rPr>
              <w:t>采集设备异常检查记录表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tcBorders>
            <w:vAlign w:val="center"/>
          </w:tcPr>
          <w:p>
            <w:pPr>
              <w:snapToGrid w:val="0"/>
              <w:spacing w:line="240" w:lineRule="auto"/>
              <w:ind w:firstLine="0" w:firstLineChars="0"/>
              <w:jc w:val="center"/>
              <w:rPr>
                <w:rFonts w:cs="Times New Roman"/>
                <w:sz w:val="21"/>
                <w:szCs w:val="21"/>
              </w:rPr>
            </w:pPr>
            <w:r>
              <w:rPr>
                <w:rFonts w:hint="eastAsia" w:cs="Times New Roman"/>
                <w:sz w:val="21"/>
                <w:szCs w:val="21"/>
              </w:rPr>
              <w:t>项目名称</w:t>
            </w:r>
          </w:p>
        </w:tc>
        <w:tc>
          <w:tcPr>
            <w:tcW w:w="6146" w:type="dxa"/>
            <w:gridSpan w:val="3"/>
            <w:tcBorders>
              <w:top w:val="single" w:color="auto" w:sz="4" w:space="0"/>
            </w:tcBorders>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采集设备异常检查原因</w:t>
            </w:r>
          </w:p>
        </w:tc>
        <w:tc>
          <w:tcPr>
            <w:tcW w:w="6146" w:type="dxa"/>
            <w:gridSpan w:val="3"/>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检查者</w:t>
            </w:r>
          </w:p>
        </w:tc>
        <w:tc>
          <w:tcPr>
            <w:tcW w:w="1802" w:type="dxa"/>
            <w:vAlign w:val="center"/>
          </w:tcPr>
          <w:p>
            <w:pPr>
              <w:snapToGrid w:val="0"/>
              <w:spacing w:line="240" w:lineRule="auto"/>
              <w:ind w:firstLine="0" w:firstLineChars="0"/>
              <w:jc w:val="center"/>
              <w:rPr>
                <w:rFonts w:cs="Times New Roman"/>
                <w:sz w:val="21"/>
                <w:szCs w:val="21"/>
              </w:rPr>
            </w:pPr>
          </w:p>
        </w:tc>
        <w:tc>
          <w:tcPr>
            <w:tcW w:w="1287" w:type="dxa"/>
            <w:vMerge w:val="restart"/>
            <w:vAlign w:val="center"/>
          </w:tcPr>
          <w:p>
            <w:pPr>
              <w:snapToGrid w:val="0"/>
              <w:spacing w:line="240" w:lineRule="auto"/>
              <w:ind w:firstLine="0" w:firstLineChars="0"/>
              <w:jc w:val="center"/>
              <w:rPr>
                <w:rFonts w:cs="Times New Roman"/>
                <w:sz w:val="21"/>
                <w:szCs w:val="21"/>
              </w:rPr>
            </w:pPr>
            <w:r>
              <w:rPr>
                <w:rFonts w:hint="eastAsia" w:cs="Times New Roman"/>
                <w:sz w:val="21"/>
                <w:szCs w:val="21"/>
              </w:rPr>
              <w:t>起止时间</w:t>
            </w:r>
          </w:p>
        </w:tc>
        <w:tc>
          <w:tcPr>
            <w:tcW w:w="3057" w:type="dxa"/>
            <w:vMerge w:val="restart"/>
            <w:vAlign w:val="center"/>
          </w:tcPr>
          <w:p>
            <w:pPr>
              <w:snapToGrid w:val="0"/>
              <w:spacing w:line="240" w:lineRule="auto"/>
              <w:ind w:firstLine="0" w:firstLineChars="0"/>
              <w:jc w:val="center"/>
              <w:rPr>
                <w:rFonts w:cs="Times New Roman"/>
                <w:kern w:val="0"/>
                <w:sz w:val="21"/>
                <w:szCs w:val="21"/>
              </w:rPr>
            </w:pPr>
            <w:r>
              <w:rPr>
                <w:rFonts w:hint="eastAsia" w:cs="Times New Roman"/>
                <w:kern w:val="0"/>
                <w:sz w:val="21"/>
                <w:szCs w:val="21"/>
              </w:rPr>
              <w:t>起：</w:t>
            </w:r>
            <w:r>
              <w:rPr>
                <w:rFonts w:cs="Times New Roman"/>
                <w:kern w:val="0"/>
                <w:sz w:val="21"/>
                <w:szCs w:val="21"/>
              </w:rPr>
              <w:t>____</w:t>
            </w:r>
            <w:r>
              <w:rPr>
                <w:rFonts w:hint="eastAsia" w:cs="Times New Roman"/>
                <w:kern w:val="0"/>
                <w:sz w:val="21"/>
                <w:szCs w:val="21"/>
              </w:rPr>
              <w:t>年</w:t>
            </w:r>
            <w:r>
              <w:rPr>
                <w:rFonts w:cs="Times New Roman"/>
                <w:kern w:val="0"/>
                <w:sz w:val="21"/>
                <w:szCs w:val="21"/>
              </w:rPr>
              <w:t>__</w:t>
            </w:r>
            <w:r>
              <w:rPr>
                <w:rFonts w:hint="eastAsia" w:cs="Times New Roman"/>
                <w:kern w:val="0"/>
                <w:sz w:val="21"/>
                <w:szCs w:val="21"/>
              </w:rPr>
              <w:t>月</w:t>
            </w:r>
            <w:r>
              <w:rPr>
                <w:rFonts w:cs="Times New Roman"/>
                <w:kern w:val="0"/>
                <w:sz w:val="21"/>
                <w:szCs w:val="21"/>
              </w:rPr>
              <w:t>__</w:t>
            </w:r>
            <w:r>
              <w:rPr>
                <w:rFonts w:hint="eastAsia" w:cs="Times New Roman"/>
                <w:kern w:val="0"/>
                <w:sz w:val="21"/>
                <w:szCs w:val="21"/>
              </w:rPr>
              <w:t>日</w:t>
            </w:r>
            <w:r>
              <w:rPr>
                <w:rFonts w:cs="Times New Roman"/>
                <w:kern w:val="0"/>
                <w:sz w:val="21"/>
                <w:szCs w:val="21"/>
              </w:rPr>
              <w:t>__</w:t>
            </w:r>
            <w:r>
              <w:rPr>
                <w:rFonts w:hint="eastAsia" w:cs="Times New Roman"/>
                <w:kern w:val="0"/>
                <w:sz w:val="21"/>
                <w:szCs w:val="21"/>
              </w:rPr>
              <w:t>时</w:t>
            </w:r>
            <w:r>
              <w:rPr>
                <w:rFonts w:cs="Times New Roman"/>
                <w:kern w:val="0"/>
                <w:sz w:val="21"/>
                <w:szCs w:val="21"/>
              </w:rPr>
              <w:t>__</w:t>
            </w:r>
            <w:r>
              <w:rPr>
                <w:rFonts w:hint="eastAsia" w:cs="Times New Roman"/>
                <w:kern w:val="0"/>
                <w:sz w:val="21"/>
                <w:szCs w:val="21"/>
              </w:rPr>
              <w:t>分</w:t>
            </w:r>
          </w:p>
          <w:p>
            <w:pPr>
              <w:snapToGrid w:val="0"/>
              <w:spacing w:line="240" w:lineRule="auto"/>
              <w:ind w:firstLine="0" w:firstLineChars="0"/>
              <w:jc w:val="center"/>
              <w:rPr>
                <w:rFonts w:cs="Times New Roman"/>
                <w:sz w:val="21"/>
                <w:szCs w:val="21"/>
              </w:rPr>
            </w:pPr>
            <w:r>
              <w:rPr>
                <w:rFonts w:hint="eastAsia" w:cs="Times New Roman"/>
                <w:kern w:val="0"/>
                <w:sz w:val="21"/>
                <w:szCs w:val="21"/>
              </w:rPr>
              <w:t>止：</w:t>
            </w:r>
            <w:r>
              <w:rPr>
                <w:rFonts w:cs="Times New Roman"/>
                <w:kern w:val="0"/>
                <w:sz w:val="21"/>
                <w:szCs w:val="21"/>
              </w:rPr>
              <w:t>____</w:t>
            </w:r>
            <w:r>
              <w:rPr>
                <w:rFonts w:hint="eastAsia" w:cs="Times New Roman"/>
                <w:kern w:val="0"/>
                <w:sz w:val="21"/>
                <w:szCs w:val="21"/>
              </w:rPr>
              <w:t>年</w:t>
            </w:r>
            <w:r>
              <w:rPr>
                <w:rFonts w:cs="Times New Roman"/>
                <w:kern w:val="0"/>
                <w:sz w:val="21"/>
                <w:szCs w:val="21"/>
              </w:rPr>
              <w:t>__</w:t>
            </w:r>
            <w:r>
              <w:rPr>
                <w:rFonts w:hint="eastAsia" w:cs="Times New Roman"/>
                <w:kern w:val="0"/>
                <w:sz w:val="21"/>
                <w:szCs w:val="21"/>
              </w:rPr>
              <w:t>月</w:t>
            </w:r>
            <w:r>
              <w:rPr>
                <w:rFonts w:cs="Times New Roman"/>
                <w:kern w:val="0"/>
                <w:sz w:val="21"/>
                <w:szCs w:val="21"/>
              </w:rPr>
              <w:t>__</w:t>
            </w:r>
            <w:r>
              <w:rPr>
                <w:rFonts w:hint="eastAsia" w:cs="Times New Roman"/>
                <w:kern w:val="0"/>
                <w:sz w:val="21"/>
                <w:szCs w:val="21"/>
              </w:rPr>
              <w:t>日</w:t>
            </w:r>
            <w:r>
              <w:rPr>
                <w:rFonts w:cs="Times New Roman"/>
                <w:kern w:val="0"/>
                <w:sz w:val="21"/>
                <w:szCs w:val="21"/>
              </w:rPr>
              <w:t>__</w:t>
            </w:r>
            <w:r>
              <w:rPr>
                <w:rFonts w:hint="eastAsia" w:cs="Times New Roman"/>
                <w:kern w:val="0"/>
                <w:sz w:val="21"/>
                <w:szCs w:val="21"/>
              </w:rPr>
              <w:t>时</w:t>
            </w:r>
            <w:r>
              <w:rPr>
                <w:rFonts w:cs="Times New Roman"/>
                <w:kern w:val="0"/>
                <w:sz w:val="21"/>
                <w:szCs w:val="21"/>
              </w:rPr>
              <w:t>__</w:t>
            </w:r>
            <w:r>
              <w:rPr>
                <w:rFonts w:hint="eastAsia" w:cs="Times New Roman"/>
                <w:kern w:val="0"/>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复核者</w:t>
            </w:r>
          </w:p>
        </w:tc>
        <w:tc>
          <w:tcPr>
            <w:tcW w:w="1802" w:type="dxa"/>
            <w:vAlign w:val="center"/>
          </w:tcPr>
          <w:p>
            <w:pPr>
              <w:snapToGrid w:val="0"/>
              <w:spacing w:line="240" w:lineRule="auto"/>
              <w:ind w:firstLine="0" w:firstLineChars="0"/>
              <w:jc w:val="center"/>
              <w:rPr>
                <w:rFonts w:cs="Times New Roman"/>
                <w:sz w:val="21"/>
                <w:szCs w:val="21"/>
              </w:rPr>
            </w:pPr>
          </w:p>
        </w:tc>
        <w:tc>
          <w:tcPr>
            <w:tcW w:w="1287" w:type="dxa"/>
            <w:vMerge w:val="continue"/>
            <w:vAlign w:val="center"/>
          </w:tcPr>
          <w:p>
            <w:pPr>
              <w:snapToGrid w:val="0"/>
              <w:spacing w:line="240" w:lineRule="auto"/>
              <w:ind w:firstLine="0" w:firstLineChars="0"/>
              <w:jc w:val="center"/>
              <w:rPr>
                <w:rFonts w:cs="Times New Roman"/>
                <w:sz w:val="21"/>
                <w:szCs w:val="21"/>
              </w:rPr>
            </w:pPr>
          </w:p>
        </w:tc>
        <w:tc>
          <w:tcPr>
            <w:tcW w:w="3057" w:type="dxa"/>
            <w:vMerge w:val="continue"/>
            <w:vAlign w:val="center"/>
          </w:tcPr>
          <w:p>
            <w:pPr>
              <w:snapToGrid w:val="0"/>
              <w:spacing w:line="240" w:lineRule="auto"/>
              <w:ind w:firstLine="0" w:firstLineChars="0"/>
              <w:jc w:val="center"/>
              <w:rPr>
                <w:rFonts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b/>
                <w:sz w:val="21"/>
                <w:szCs w:val="21"/>
              </w:rPr>
            </w:pPr>
            <w:r>
              <w:rPr>
                <w:rFonts w:hint="eastAsia" w:cs="Times New Roman"/>
                <w:b/>
                <w:sz w:val="21"/>
                <w:szCs w:val="21"/>
              </w:rPr>
              <w:t>检查项目</w:t>
            </w:r>
          </w:p>
        </w:tc>
        <w:tc>
          <w:tcPr>
            <w:tcW w:w="1802" w:type="dxa"/>
            <w:vAlign w:val="center"/>
          </w:tcPr>
          <w:p>
            <w:pPr>
              <w:snapToGrid w:val="0"/>
              <w:spacing w:line="240" w:lineRule="auto"/>
              <w:ind w:firstLine="0" w:firstLineChars="0"/>
              <w:jc w:val="center"/>
              <w:rPr>
                <w:rFonts w:cs="Times New Roman"/>
                <w:b/>
                <w:sz w:val="21"/>
                <w:szCs w:val="21"/>
              </w:rPr>
            </w:pPr>
            <w:r>
              <w:rPr>
                <w:rFonts w:hint="eastAsia" w:cs="Times New Roman"/>
                <w:b/>
                <w:sz w:val="21"/>
                <w:szCs w:val="21"/>
              </w:rPr>
              <w:t>结论</w:t>
            </w:r>
          </w:p>
        </w:tc>
        <w:tc>
          <w:tcPr>
            <w:tcW w:w="1287" w:type="dxa"/>
            <w:vAlign w:val="center"/>
          </w:tcPr>
          <w:p>
            <w:pPr>
              <w:snapToGrid w:val="0"/>
              <w:spacing w:line="240" w:lineRule="auto"/>
              <w:ind w:firstLine="0" w:firstLineChars="0"/>
              <w:jc w:val="center"/>
              <w:rPr>
                <w:rFonts w:cs="Times New Roman"/>
                <w:b/>
                <w:sz w:val="21"/>
                <w:szCs w:val="21"/>
              </w:rPr>
            </w:pPr>
            <w:r>
              <w:rPr>
                <w:rFonts w:hint="eastAsia" w:cs="Times New Roman"/>
                <w:b/>
                <w:sz w:val="21"/>
                <w:szCs w:val="21"/>
              </w:rPr>
              <w:t>设备编号</w:t>
            </w:r>
          </w:p>
        </w:tc>
        <w:tc>
          <w:tcPr>
            <w:tcW w:w="3057" w:type="dxa"/>
            <w:vAlign w:val="center"/>
          </w:tcPr>
          <w:p>
            <w:pPr>
              <w:snapToGrid w:val="0"/>
              <w:spacing w:line="240" w:lineRule="auto"/>
              <w:ind w:firstLine="0" w:firstLineChars="0"/>
              <w:jc w:val="center"/>
              <w:rPr>
                <w:rFonts w:cs="Times New Roman"/>
                <w:b/>
                <w:sz w:val="21"/>
                <w:szCs w:val="21"/>
              </w:rPr>
            </w:pPr>
            <w:r>
              <w:rPr>
                <w:rFonts w:hint="eastAsia" w:cs="Times New Roman"/>
                <w:b/>
                <w:sz w:val="21"/>
                <w:szCs w:val="21"/>
              </w:rPr>
              <w:t>存在问题及维护情况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数据采集设备工作状况</w:t>
            </w:r>
          </w:p>
        </w:tc>
        <w:tc>
          <w:tcPr>
            <w:tcW w:w="1802" w:type="dxa"/>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数据传输设备工作状况</w:t>
            </w:r>
          </w:p>
        </w:tc>
        <w:tc>
          <w:tcPr>
            <w:tcW w:w="1802" w:type="dxa"/>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数据存储设备工作状况</w:t>
            </w:r>
          </w:p>
        </w:tc>
        <w:tc>
          <w:tcPr>
            <w:tcW w:w="1802" w:type="dxa"/>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数据显示设备工作状况</w:t>
            </w:r>
          </w:p>
        </w:tc>
        <w:tc>
          <w:tcPr>
            <w:tcW w:w="1802" w:type="dxa"/>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设备除尘、除湿情况</w:t>
            </w:r>
          </w:p>
        </w:tc>
        <w:tc>
          <w:tcPr>
            <w:tcW w:w="1802" w:type="dxa"/>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设备连接线情况</w:t>
            </w:r>
          </w:p>
        </w:tc>
        <w:tc>
          <w:tcPr>
            <w:tcW w:w="1802" w:type="dxa"/>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数据存储设备的历史数据是否完整</w:t>
            </w:r>
          </w:p>
        </w:tc>
        <w:tc>
          <w:tcPr>
            <w:tcW w:w="1802" w:type="dxa"/>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数据存储设备的磁盘检查和数据备份</w:t>
            </w:r>
          </w:p>
        </w:tc>
        <w:tc>
          <w:tcPr>
            <w:tcW w:w="1802" w:type="dxa"/>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数据存储设备的不间断电源</w:t>
            </w:r>
          </w:p>
        </w:tc>
        <w:tc>
          <w:tcPr>
            <w:tcW w:w="1802" w:type="dxa"/>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数据采集设备的环境要求（温湿度等）</w:t>
            </w:r>
          </w:p>
        </w:tc>
        <w:tc>
          <w:tcPr>
            <w:tcW w:w="1802" w:type="dxa"/>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数据传输设备的环境要求（温湿度等）</w:t>
            </w:r>
          </w:p>
        </w:tc>
        <w:tc>
          <w:tcPr>
            <w:tcW w:w="1802" w:type="dxa"/>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数据存储设备的环境要求（温湿度等）</w:t>
            </w:r>
          </w:p>
        </w:tc>
        <w:tc>
          <w:tcPr>
            <w:tcW w:w="1802" w:type="dxa"/>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数据显示设备的环境要求（温湿度等）</w:t>
            </w:r>
          </w:p>
        </w:tc>
        <w:tc>
          <w:tcPr>
            <w:tcW w:w="1802" w:type="dxa"/>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机柜空调、热交换器以及风扇等温控设备</w:t>
            </w:r>
          </w:p>
        </w:tc>
        <w:tc>
          <w:tcPr>
            <w:tcW w:w="1802" w:type="dxa"/>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设备电池工作情况</w:t>
            </w:r>
          </w:p>
        </w:tc>
        <w:tc>
          <w:tcPr>
            <w:tcW w:w="1802" w:type="dxa"/>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设备的拆卸、安装情况</w:t>
            </w:r>
          </w:p>
        </w:tc>
        <w:tc>
          <w:tcPr>
            <w:tcW w:w="1802" w:type="dxa"/>
          </w:tcPr>
          <w:p>
            <w:pPr>
              <w:snapToGrid w:val="0"/>
              <w:spacing w:line="240" w:lineRule="auto"/>
              <w:ind w:firstLine="0" w:firstLineChars="0"/>
              <w:jc w:val="center"/>
              <w:rPr>
                <w:rFonts w:cs="Times New Roman"/>
                <w:sz w:val="21"/>
                <w:szCs w:val="21"/>
              </w:rPr>
            </w:pPr>
            <w:r>
              <w:rPr>
                <w:rFonts w:hint="eastAsia" w:cs="Times New Roman"/>
                <w:sz w:val="21"/>
                <w:szCs w:val="21"/>
              </w:rPr>
              <w:t>□正常</w:t>
            </w:r>
            <w:r>
              <w:rPr>
                <w:rFonts w:cs="Times New Roman"/>
                <w:sz w:val="21"/>
                <w:szCs w:val="21"/>
              </w:rPr>
              <w:t xml:space="preserve"> </w:t>
            </w:r>
            <w:r>
              <w:rPr>
                <w:rFonts w:hint="eastAsia" w:cs="Times New Roman"/>
                <w:sz w:val="21"/>
                <w:szCs w:val="21"/>
              </w:rPr>
              <w:t>□异常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其他情况</w:t>
            </w:r>
          </w:p>
        </w:tc>
        <w:tc>
          <w:tcPr>
            <w:tcW w:w="6146" w:type="dxa"/>
            <w:gridSpan w:val="3"/>
          </w:tcPr>
          <w:p>
            <w:pPr>
              <w:snapToGrid w:val="0"/>
              <w:spacing w:line="240" w:lineRule="auto"/>
              <w:ind w:firstLine="0" w:firstLineChars="0"/>
              <w:jc w:val="center"/>
              <w:rPr>
                <w:rFonts w:cs="Times New Roman"/>
                <w:sz w:val="21"/>
                <w:szCs w:val="21"/>
              </w:rPr>
            </w:pPr>
          </w:p>
        </w:tc>
      </w:tr>
    </w:tbl>
    <w:p>
      <w:pPr>
        <w:ind w:firstLine="0" w:firstLineChars="0"/>
      </w:pPr>
    </w:p>
    <w:p>
      <w:pPr>
        <w:widowControl/>
        <w:spacing w:line="240" w:lineRule="auto"/>
        <w:ind w:firstLine="0" w:firstLineChars="0"/>
        <w:jc w:val="left"/>
      </w:pPr>
      <w:r>
        <w:br w:type="page"/>
      </w:r>
    </w:p>
    <w:tbl>
      <w:tblPr>
        <w:tblStyle w:val="23"/>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802"/>
        <w:gridCol w:w="1287"/>
        <w:gridCol w:w="3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gridSpan w:val="4"/>
            <w:tcBorders>
              <w:top w:val="nil"/>
              <w:left w:val="nil"/>
              <w:bottom w:val="single" w:color="auto" w:sz="4" w:space="0"/>
              <w:right w:val="nil"/>
            </w:tcBorders>
            <w:vAlign w:val="center"/>
          </w:tcPr>
          <w:p>
            <w:pPr>
              <w:pStyle w:val="38"/>
              <w:rPr>
                <w:rFonts w:eastAsia="黑体"/>
              </w:rPr>
            </w:pPr>
            <w:r>
              <w:t>表B.</w:t>
            </w:r>
            <w:r>
              <w:fldChar w:fldCharType="begin"/>
            </w:r>
            <w:r>
              <w:instrText xml:space="preserve"> SEQ 附录表B \* ARABIC </w:instrText>
            </w:r>
            <w:r>
              <w:fldChar w:fldCharType="separate"/>
            </w:r>
            <w:r>
              <w:t>9</w:t>
            </w:r>
            <w:r>
              <w:fldChar w:fldCharType="end"/>
            </w:r>
            <w:r>
              <w:rPr>
                <w:b/>
                <w:bCs/>
              </w:rPr>
              <w:t xml:space="preserve"> </w:t>
            </w:r>
            <w:r>
              <w:rPr>
                <w:rFonts w:hint="eastAsia"/>
              </w:rPr>
              <w:t>系统软件异常检查记录表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Borders>
              <w:top w:val="single" w:color="auto" w:sz="4" w:space="0"/>
            </w:tcBorders>
            <w:vAlign w:val="center"/>
          </w:tcPr>
          <w:p>
            <w:pPr>
              <w:snapToGrid w:val="0"/>
              <w:spacing w:line="240" w:lineRule="auto"/>
              <w:ind w:firstLine="0" w:firstLineChars="0"/>
              <w:jc w:val="center"/>
              <w:rPr>
                <w:rFonts w:cs="Times New Roman"/>
                <w:sz w:val="21"/>
                <w:szCs w:val="21"/>
              </w:rPr>
            </w:pPr>
            <w:r>
              <w:rPr>
                <w:rFonts w:cs="Times New Roman"/>
                <w:sz w:val="21"/>
                <w:szCs w:val="21"/>
              </w:rPr>
              <w:t>项目名称</w:t>
            </w:r>
          </w:p>
        </w:tc>
        <w:tc>
          <w:tcPr>
            <w:tcW w:w="6146" w:type="dxa"/>
            <w:gridSpan w:val="3"/>
            <w:tcBorders>
              <w:top w:val="single" w:color="auto" w:sz="4" w:space="0"/>
            </w:tcBorders>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hint="eastAsia" w:cs="Times New Roman"/>
                <w:sz w:val="21"/>
                <w:szCs w:val="21"/>
              </w:rPr>
              <w:t>系统软件异常</w:t>
            </w:r>
            <w:r>
              <w:rPr>
                <w:rFonts w:cs="Times New Roman"/>
                <w:sz w:val="21"/>
                <w:szCs w:val="21"/>
              </w:rPr>
              <w:t>检查</w:t>
            </w:r>
            <w:r>
              <w:rPr>
                <w:rFonts w:hint="eastAsia" w:cs="Times New Roman"/>
                <w:sz w:val="21"/>
                <w:szCs w:val="21"/>
              </w:rPr>
              <w:t>原因</w:t>
            </w:r>
          </w:p>
        </w:tc>
        <w:tc>
          <w:tcPr>
            <w:tcW w:w="6146" w:type="dxa"/>
            <w:gridSpan w:val="3"/>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2160" w:type="dxa"/>
            <w:vAlign w:val="center"/>
          </w:tcPr>
          <w:p>
            <w:pPr>
              <w:snapToGrid w:val="0"/>
              <w:spacing w:line="240" w:lineRule="auto"/>
              <w:ind w:firstLine="0" w:firstLineChars="0"/>
              <w:jc w:val="center"/>
              <w:rPr>
                <w:rFonts w:cs="Times New Roman"/>
                <w:sz w:val="21"/>
                <w:szCs w:val="21"/>
              </w:rPr>
            </w:pPr>
            <w:r>
              <w:rPr>
                <w:rFonts w:cs="Times New Roman"/>
                <w:sz w:val="21"/>
                <w:szCs w:val="21"/>
              </w:rPr>
              <w:t>操作者</w:t>
            </w:r>
          </w:p>
        </w:tc>
        <w:tc>
          <w:tcPr>
            <w:tcW w:w="1802" w:type="dxa"/>
            <w:vAlign w:val="center"/>
          </w:tcPr>
          <w:p>
            <w:pPr>
              <w:snapToGrid w:val="0"/>
              <w:spacing w:line="240" w:lineRule="auto"/>
              <w:ind w:firstLine="0" w:firstLineChars="0"/>
              <w:jc w:val="center"/>
              <w:rPr>
                <w:rFonts w:cs="Times New Roman"/>
                <w:sz w:val="21"/>
                <w:szCs w:val="21"/>
              </w:rPr>
            </w:pPr>
          </w:p>
        </w:tc>
        <w:tc>
          <w:tcPr>
            <w:tcW w:w="1287" w:type="dxa"/>
            <w:vMerge w:val="restart"/>
            <w:vAlign w:val="center"/>
          </w:tcPr>
          <w:p>
            <w:pPr>
              <w:snapToGrid w:val="0"/>
              <w:spacing w:line="240" w:lineRule="auto"/>
              <w:ind w:firstLine="0" w:firstLineChars="0"/>
              <w:jc w:val="center"/>
              <w:rPr>
                <w:rFonts w:cs="Times New Roman"/>
                <w:sz w:val="21"/>
                <w:szCs w:val="21"/>
              </w:rPr>
            </w:pPr>
            <w:r>
              <w:rPr>
                <w:rFonts w:cs="Times New Roman"/>
                <w:sz w:val="21"/>
                <w:szCs w:val="21"/>
              </w:rPr>
              <w:t>起止时间</w:t>
            </w:r>
          </w:p>
        </w:tc>
        <w:tc>
          <w:tcPr>
            <w:tcW w:w="3057" w:type="dxa"/>
            <w:vMerge w:val="restart"/>
            <w:vAlign w:val="center"/>
          </w:tcPr>
          <w:p>
            <w:pPr>
              <w:snapToGrid w:val="0"/>
              <w:spacing w:line="240" w:lineRule="auto"/>
              <w:ind w:firstLine="0" w:firstLineChars="0"/>
              <w:jc w:val="center"/>
              <w:rPr>
                <w:rFonts w:cs="Times New Roman"/>
                <w:sz w:val="21"/>
                <w:szCs w:val="21"/>
              </w:rPr>
            </w:pPr>
            <w:r>
              <w:rPr>
                <w:rFonts w:cs="Times New Roman"/>
                <w:sz w:val="21"/>
                <w:szCs w:val="21"/>
              </w:rPr>
              <w:t>起：____年__月__日__时__分</w:t>
            </w:r>
          </w:p>
          <w:p>
            <w:pPr>
              <w:snapToGrid w:val="0"/>
              <w:spacing w:line="240" w:lineRule="auto"/>
              <w:ind w:firstLine="0" w:firstLineChars="0"/>
              <w:jc w:val="center"/>
              <w:rPr>
                <w:rFonts w:cs="Times New Roman"/>
                <w:sz w:val="21"/>
                <w:szCs w:val="21"/>
              </w:rPr>
            </w:pPr>
            <w:r>
              <w:rPr>
                <w:rFonts w:cs="Times New Roman"/>
                <w:sz w:val="21"/>
                <w:szCs w:val="21"/>
              </w:rPr>
              <w:t>止：____年__月__日__时__分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160" w:type="dxa"/>
            <w:vAlign w:val="center"/>
          </w:tcPr>
          <w:p>
            <w:pPr>
              <w:snapToGrid w:val="0"/>
              <w:spacing w:line="240" w:lineRule="auto"/>
              <w:ind w:firstLine="0" w:firstLineChars="0"/>
              <w:jc w:val="center"/>
              <w:rPr>
                <w:rFonts w:cs="Times New Roman"/>
                <w:sz w:val="21"/>
                <w:szCs w:val="21"/>
              </w:rPr>
            </w:pPr>
            <w:r>
              <w:rPr>
                <w:rFonts w:cs="Times New Roman"/>
                <w:sz w:val="21"/>
                <w:szCs w:val="21"/>
              </w:rPr>
              <w:t>复核者</w:t>
            </w:r>
          </w:p>
        </w:tc>
        <w:tc>
          <w:tcPr>
            <w:tcW w:w="1802" w:type="dxa"/>
            <w:vAlign w:val="center"/>
          </w:tcPr>
          <w:p>
            <w:pPr>
              <w:snapToGrid w:val="0"/>
              <w:spacing w:line="240" w:lineRule="auto"/>
              <w:ind w:firstLine="0" w:firstLineChars="0"/>
              <w:jc w:val="center"/>
              <w:rPr>
                <w:rFonts w:cs="Times New Roman"/>
                <w:sz w:val="21"/>
                <w:szCs w:val="21"/>
              </w:rPr>
            </w:pPr>
          </w:p>
        </w:tc>
        <w:tc>
          <w:tcPr>
            <w:tcW w:w="1287" w:type="dxa"/>
            <w:vMerge w:val="continue"/>
            <w:vAlign w:val="center"/>
          </w:tcPr>
          <w:p>
            <w:pPr>
              <w:snapToGrid w:val="0"/>
              <w:spacing w:line="240" w:lineRule="auto"/>
              <w:ind w:firstLine="0" w:firstLineChars="0"/>
              <w:jc w:val="center"/>
              <w:rPr>
                <w:rFonts w:cs="Times New Roman"/>
                <w:sz w:val="21"/>
                <w:szCs w:val="21"/>
              </w:rPr>
            </w:pPr>
          </w:p>
        </w:tc>
        <w:tc>
          <w:tcPr>
            <w:tcW w:w="3057" w:type="dxa"/>
            <w:vMerge w:val="continue"/>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b/>
                <w:sz w:val="21"/>
                <w:szCs w:val="21"/>
              </w:rPr>
            </w:pPr>
            <w:r>
              <w:rPr>
                <w:rFonts w:cs="Times New Roman"/>
                <w:b/>
                <w:sz w:val="21"/>
                <w:szCs w:val="21"/>
              </w:rPr>
              <w:t>检查项目</w:t>
            </w:r>
          </w:p>
        </w:tc>
        <w:tc>
          <w:tcPr>
            <w:tcW w:w="1802" w:type="dxa"/>
            <w:vAlign w:val="center"/>
          </w:tcPr>
          <w:p>
            <w:pPr>
              <w:snapToGrid w:val="0"/>
              <w:spacing w:line="240" w:lineRule="auto"/>
              <w:ind w:firstLine="0" w:firstLineChars="0"/>
              <w:jc w:val="center"/>
              <w:rPr>
                <w:rFonts w:cs="Times New Roman"/>
                <w:b/>
                <w:sz w:val="21"/>
                <w:szCs w:val="21"/>
              </w:rPr>
            </w:pPr>
            <w:r>
              <w:rPr>
                <w:rFonts w:cs="Times New Roman"/>
                <w:b/>
                <w:sz w:val="21"/>
                <w:szCs w:val="21"/>
              </w:rPr>
              <w:t>结论</w:t>
            </w:r>
          </w:p>
        </w:tc>
        <w:tc>
          <w:tcPr>
            <w:tcW w:w="1287" w:type="dxa"/>
            <w:vAlign w:val="center"/>
          </w:tcPr>
          <w:p>
            <w:pPr>
              <w:snapToGrid w:val="0"/>
              <w:spacing w:line="240" w:lineRule="auto"/>
              <w:ind w:firstLine="0" w:firstLineChars="0"/>
              <w:jc w:val="center"/>
              <w:rPr>
                <w:rFonts w:cs="Times New Roman"/>
                <w:b/>
                <w:sz w:val="21"/>
                <w:szCs w:val="21"/>
              </w:rPr>
            </w:pPr>
            <w:r>
              <w:rPr>
                <w:rFonts w:cs="Times New Roman"/>
                <w:b/>
                <w:sz w:val="21"/>
                <w:szCs w:val="21"/>
              </w:rPr>
              <w:t>编号</w:t>
            </w:r>
          </w:p>
        </w:tc>
        <w:tc>
          <w:tcPr>
            <w:tcW w:w="3057" w:type="dxa"/>
            <w:vAlign w:val="center"/>
          </w:tcPr>
          <w:p>
            <w:pPr>
              <w:snapToGrid w:val="0"/>
              <w:spacing w:line="240" w:lineRule="auto"/>
              <w:ind w:firstLine="0" w:firstLineChars="0"/>
              <w:jc w:val="center"/>
              <w:rPr>
                <w:rFonts w:cs="Times New Roman"/>
                <w:b/>
                <w:sz w:val="21"/>
                <w:szCs w:val="21"/>
              </w:rPr>
            </w:pPr>
            <w:r>
              <w:rPr>
                <w:rFonts w:cs="Times New Roman"/>
                <w:b/>
                <w:sz w:val="21"/>
                <w:szCs w:val="21"/>
              </w:rPr>
              <w:t>存在问题及维护情况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cs="Times New Roman"/>
                <w:sz w:val="21"/>
                <w:szCs w:val="21"/>
              </w:rPr>
              <w:t>软件运行是否流畅</w:t>
            </w:r>
          </w:p>
        </w:tc>
        <w:tc>
          <w:tcPr>
            <w:tcW w:w="1802" w:type="dxa"/>
            <w:vAlign w:val="center"/>
          </w:tcPr>
          <w:p>
            <w:pPr>
              <w:snapToGrid w:val="0"/>
              <w:spacing w:line="240" w:lineRule="auto"/>
              <w:ind w:firstLine="0" w:firstLineChars="0"/>
              <w:jc w:val="center"/>
              <w:rPr>
                <w:rFonts w:cs="Times New Roman"/>
                <w:sz w:val="21"/>
                <w:szCs w:val="21"/>
              </w:rPr>
            </w:pPr>
            <w:r>
              <w:rPr>
                <w:rFonts w:cs="Times New Roman"/>
                <w:sz w:val="21"/>
                <w:szCs w:val="21"/>
              </w:rPr>
              <w:t>□正常 □异常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cs="Times New Roman"/>
                <w:sz w:val="21"/>
                <w:szCs w:val="21"/>
              </w:rPr>
              <w:t>软件日志是否正常</w:t>
            </w:r>
          </w:p>
        </w:tc>
        <w:tc>
          <w:tcPr>
            <w:tcW w:w="1802" w:type="dxa"/>
            <w:vAlign w:val="center"/>
          </w:tcPr>
          <w:p>
            <w:pPr>
              <w:snapToGrid w:val="0"/>
              <w:spacing w:line="240" w:lineRule="auto"/>
              <w:ind w:firstLine="0" w:firstLineChars="0"/>
              <w:jc w:val="center"/>
              <w:rPr>
                <w:rFonts w:cs="Times New Roman"/>
                <w:sz w:val="21"/>
                <w:szCs w:val="21"/>
              </w:rPr>
            </w:pPr>
            <w:r>
              <w:rPr>
                <w:rFonts w:cs="Times New Roman"/>
                <w:sz w:val="21"/>
                <w:szCs w:val="21"/>
              </w:rPr>
              <w:t>□正常 □异常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cs="Times New Roman"/>
                <w:sz w:val="21"/>
                <w:szCs w:val="21"/>
              </w:rPr>
              <w:t>软件自动恢复功能</w:t>
            </w:r>
          </w:p>
        </w:tc>
        <w:tc>
          <w:tcPr>
            <w:tcW w:w="1802" w:type="dxa"/>
            <w:vAlign w:val="center"/>
          </w:tcPr>
          <w:p>
            <w:pPr>
              <w:snapToGrid w:val="0"/>
              <w:spacing w:line="240" w:lineRule="auto"/>
              <w:ind w:firstLine="0" w:firstLineChars="0"/>
              <w:jc w:val="center"/>
              <w:rPr>
                <w:rFonts w:cs="Times New Roman"/>
                <w:sz w:val="21"/>
                <w:szCs w:val="21"/>
              </w:rPr>
            </w:pPr>
            <w:r>
              <w:rPr>
                <w:rFonts w:cs="Times New Roman"/>
                <w:sz w:val="21"/>
                <w:szCs w:val="21"/>
              </w:rPr>
              <w:t>□正常 □异常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cs="Times New Roman"/>
                <w:sz w:val="21"/>
                <w:szCs w:val="21"/>
              </w:rPr>
              <w:t>数据备份功能</w:t>
            </w:r>
          </w:p>
        </w:tc>
        <w:tc>
          <w:tcPr>
            <w:tcW w:w="1802" w:type="dxa"/>
            <w:vAlign w:val="center"/>
          </w:tcPr>
          <w:p>
            <w:pPr>
              <w:snapToGrid w:val="0"/>
              <w:spacing w:line="240" w:lineRule="auto"/>
              <w:ind w:firstLine="0" w:firstLineChars="0"/>
              <w:jc w:val="center"/>
              <w:rPr>
                <w:rFonts w:cs="Times New Roman"/>
                <w:sz w:val="21"/>
                <w:szCs w:val="21"/>
              </w:rPr>
            </w:pPr>
            <w:r>
              <w:rPr>
                <w:rFonts w:cs="Times New Roman"/>
                <w:sz w:val="21"/>
                <w:szCs w:val="21"/>
              </w:rPr>
              <w:t>□正常 □异常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cs="Times New Roman"/>
                <w:sz w:val="21"/>
                <w:szCs w:val="21"/>
              </w:rPr>
              <w:t>数据分析功能</w:t>
            </w:r>
          </w:p>
        </w:tc>
        <w:tc>
          <w:tcPr>
            <w:tcW w:w="1802" w:type="dxa"/>
            <w:vAlign w:val="center"/>
          </w:tcPr>
          <w:p>
            <w:pPr>
              <w:snapToGrid w:val="0"/>
              <w:spacing w:line="240" w:lineRule="auto"/>
              <w:ind w:firstLine="0" w:firstLineChars="0"/>
              <w:jc w:val="center"/>
              <w:rPr>
                <w:rFonts w:cs="Times New Roman"/>
                <w:sz w:val="21"/>
                <w:szCs w:val="21"/>
              </w:rPr>
            </w:pPr>
            <w:r>
              <w:rPr>
                <w:rFonts w:cs="Times New Roman"/>
                <w:sz w:val="21"/>
                <w:szCs w:val="21"/>
              </w:rPr>
              <w:t>□正常 □异常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cs="Times New Roman"/>
                <w:sz w:val="21"/>
                <w:szCs w:val="21"/>
              </w:rPr>
              <w:t>系统软件病毒检测</w:t>
            </w:r>
          </w:p>
        </w:tc>
        <w:tc>
          <w:tcPr>
            <w:tcW w:w="1802" w:type="dxa"/>
            <w:vAlign w:val="center"/>
          </w:tcPr>
          <w:p>
            <w:pPr>
              <w:snapToGrid w:val="0"/>
              <w:spacing w:line="240" w:lineRule="auto"/>
              <w:ind w:firstLine="0" w:firstLineChars="0"/>
              <w:jc w:val="center"/>
              <w:rPr>
                <w:rFonts w:cs="Times New Roman"/>
                <w:sz w:val="21"/>
                <w:szCs w:val="21"/>
              </w:rPr>
            </w:pPr>
            <w:r>
              <w:rPr>
                <w:rFonts w:cs="Times New Roman"/>
                <w:sz w:val="21"/>
                <w:szCs w:val="21"/>
              </w:rPr>
              <w:t>□正常 □异常</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cs="Times New Roman"/>
                <w:sz w:val="21"/>
                <w:szCs w:val="21"/>
              </w:rPr>
              <w:t>软件是否需要升级</w:t>
            </w:r>
          </w:p>
        </w:tc>
        <w:tc>
          <w:tcPr>
            <w:tcW w:w="1802" w:type="dxa"/>
            <w:vAlign w:val="center"/>
          </w:tcPr>
          <w:p>
            <w:pPr>
              <w:snapToGrid w:val="0"/>
              <w:spacing w:line="240" w:lineRule="auto"/>
              <w:ind w:firstLine="0" w:firstLineChars="0"/>
              <w:jc w:val="center"/>
              <w:rPr>
                <w:rFonts w:cs="Times New Roman"/>
                <w:sz w:val="21"/>
                <w:szCs w:val="21"/>
              </w:rPr>
            </w:pPr>
            <w:r>
              <w:rPr>
                <w:rFonts w:cs="Times New Roman"/>
                <w:sz w:val="21"/>
                <w:szCs w:val="21"/>
              </w:rPr>
              <w:t>□</w:t>
            </w:r>
            <w:r>
              <w:rPr>
                <w:rFonts w:hint="eastAsia" w:cs="Times New Roman"/>
                <w:sz w:val="21"/>
                <w:szCs w:val="21"/>
              </w:rPr>
              <w:t>是</w:t>
            </w:r>
            <w:r>
              <w:rPr>
                <w:rFonts w:cs="Times New Roman"/>
                <w:sz w:val="21"/>
                <w:szCs w:val="21"/>
              </w:rPr>
              <w:t xml:space="preserve"> □</w:t>
            </w:r>
            <w:r>
              <w:rPr>
                <w:rFonts w:hint="eastAsia" w:cs="Times New Roman"/>
                <w:sz w:val="21"/>
                <w:szCs w:val="21"/>
              </w:rPr>
              <w:t>否</w:t>
            </w:r>
          </w:p>
        </w:tc>
        <w:tc>
          <w:tcPr>
            <w:tcW w:w="1287" w:type="dxa"/>
            <w:vAlign w:val="center"/>
          </w:tcPr>
          <w:p>
            <w:pPr>
              <w:snapToGrid w:val="0"/>
              <w:spacing w:line="240" w:lineRule="auto"/>
              <w:ind w:firstLine="0" w:firstLineChars="0"/>
              <w:jc w:val="center"/>
              <w:rPr>
                <w:rFonts w:cs="Times New Roman"/>
                <w:sz w:val="21"/>
                <w:szCs w:val="21"/>
              </w:rPr>
            </w:pPr>
          </w:p>
        </w:tc>
        <w:tc>
          <w:tcPr>
            <w:tcW w:w="3057" w:type="dxa"/>
            <w:vAlign w:val="center"/>
          </w:tcPr>
          <w:p>
            <w:pPr>
              <w:snapToGrid w:val="0"/>
              <w:spacing w:line="240" w:lineRule="auto"/>
              <w:ind w:firstLine="0" w:firstLineChars="0"/>
              <w:jc w:val="center"/>
              <w:rPr>
                <w:rFonts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vAlign w:val="center"/>
          </w:tcPr>
          <w:p>
            <w:pPr>
              <w:snapToGrid w:val="0"/>
              <w:spacing w:line="240" w:lineRule="auto"/>
              <w:ind w:firstLine="0" w:firstLineChars="0"/>
              <w:jc w:val="center"/>
              <w:rPr>
                <w:rFonts w:cs="Times New Roman"/>
                <w:sz w:val="21"/>
                <w:szCs w:val="21"/>
              </w:rPr>
            </w:pPr>
            <w:r>
              <w:rPr>
                <w:rFonts w:cs="Times New Roman"/>
                <w:sz w:val="21"/>
                <w:szCs w:val="21"/>
              </w:rPr>
              <w:t>其他情况</w:t>
            </w:r>
          </w:p>
        </w:tc>
        <w:tc>
          <w:tcPr>
            <w:tcW w:w="6146" w:type="dxa"/>
            <w:gridSpan w:val="3"/>
          </w:tcPr>
          <w:p>
            <w:pPr>
              <w:snapToGrid w:val="0"/>
              <w:spacing w:line="240" w:lineRule="auto"/>
              <w:ind w:firstLine="0" w:firstLineChars="0"/>
              <w:jc w:val="center"/>
              <w:rPr>
                <w:rFonts w:cs="Times New Roman"/>
                <w:sz w:val="21"/>
                <w:szCs w:val="21"/>
              </w:rPr>
            </w:pPr>
          </w:p>
        </w:tc>
      </w:tr>
    </w:tbl>
    <w:p>
      <w:pPr>
        <w:ind w:firstLine="480"/>
        <w:rPr>
          <w:rFonts w:hint="eastAsia"/>
        </w:rPr>
      </w:pPr>
    </w:p>
    <w:p>
      <w:pPr>
        <w:ind w:firstLine="480"/>
      </w:pPr>
    </w:p>
    <w:p>
      <w:pPr>
        <w:ind w:firstLine="480"/>
        <w:jc w:val="center"/>
      </w:pPr>
    </w:p>
    <w:p>
      <w:pPr>
        <w:tabs>
          <w:tab w:val="center" w:pos="4393"/>
        </w:tabs>
        <w:ind w:firstLine="480"/>
        <w:sectPr>
          <w:pgSz w:w="11906" w:h="16838"/>
          <w:pgMar w:top="1440" w:right="1800" w:bottom="1440" w:left="1800" w:header="851" w:footer="992" w:gutter="0"/>
          <w:cols w:space="425" w:num="1"/>
          <w:docGrid w:type="lines" w:linePitch="312" w:charSpace="0"/>
        </w:sectPr>
      </w:pPr>
      <w:r>
        <w:tab/>
      </w:r>
    </w:p>
    <w:p>
      <w:pPr>
        <w:widowControl/>
        <w:spacing w:line="240" w:lineRule="auto"/>
        <w:ind w:firstLine="0" w:firstLineChars="0"/>
        <w:jc w:val="left"/>
      </w:pPr>
    </w:p>
    <w:p>
      <w:pPr>
        <w:pStyle w:val="32"/>
      </w:pPr>
      <w:bookmarkStart w:id="107" w:name="_Toc136506077"/>
      <w:r>
        <w:rPr>
          <w:rFonts w:hint="eastAsia"/>
        </w:rPr>
        <w:t>本规程用词说明</w:t>
      </w:r>
      <w:bookmarkEnd w:id="107"/>
    </w:p>
    <w:p>
      <w:pPr>
        <w:ind w:firstLine="482"/>
      </w:pPr>
      <w:r>
        <w:rPr>
          <w:rFonts w:hint="eastAsia"/>
          <w:b/>
          <w:bCs/>
        </w:rPr>
        <w:t>1</w:t>
      </w:r>
      <w:r>
        <w:t xml:space="preserve"> </w:t>
      </w:r>
      <w:r>
        <w:rPr>
          <w:rFonts w:hint="eastAsia"/>
        </w:rPr>
        <w:t>为便于在执行本规范条文时区别对待，对要求严格程度不同的用词说明如下：</w:t>
      </w:r>
    </w:p>
    <w:p>
      <w:pPr>
        <w:ind w:firstLine="482"/>
      </w:pPr>
      <w:r>
        <w:rPr>
          <w:rFonts w:hint="eastAsia"/>
          <w:b/>
          <w:bCs/>
        </w:rPr>
        <w:t>1）</w:t>
      </w:r>
      <w:r>
        <w:rPr>
          <w:rFonts w:hint="eastAsia"/>
        </w:rPr>
        <w:t>表示很严格，非这样做不可的用词：</w:t>
      </w:r>
    </w:p>
    <w:p>
      <w:pPr>
        <w:ind w:firstLine="840" w:firstLineChars="350"/>
      </w:pPr>
      <w:r>
        <w:rPr>
          <w:rFonts w:hint="eastAsia"/>
        </w:rPr>
        <w:t>正面词采用“必须”，反面词采用“严禁”；</w:t>
      </w:r>
    </w:p>
    <w:p>
      <w:pPr>
        <w:ind w:firstLine="482"/>
      </w:pPr>
      <w:r>
        <w:rPr>
          <w:rFonts w:hint="eastAsia"/>
          <w:b/>
          <w:bCs/>
        </w:rPr>
        <w:t>2）</w:t>
      </w:r>
      <w:r>
        <w:rPr>
          <w:rFonts w:hint="eastAsia"/>
        </w:rPr>
        <w:t>表示严格，在正常情况均应这样做的用词：</w:t>
      </w:r>
    </w:p>
    <w:p>
      <w:pPr>
        <w:ind w:firstLine="840" w:firstLineChars="350"/>
      </w:pPr>
      <w:r>
        <w:rPr>
          <w:rFonts w:hint="eastAsia"/>
        </w:rPr>
        <w:t>正面词采用“应”，反面词采用“不应”或“不得”；</w:t>
      </w:r>
    </w:p>
    <w:p>
      <w:pPr>
        <w:ind w:firstLine="482"/>
      </w:pPr>
      <w:r>
        <w:rPr>
          <w:rFonts w:hint="eastAsia"/>
          <w:b/>
          <w:bCs/>
        </w:rPr>
        <w:t>3）</w:t>
      </w:r>
      <w:r>
        <w:rPr>
          <w:rFonts w:hint="eastAsia"/>
        </w:rPr>
        <w:t>表示允许稍有选择，在条件许可时首先应这样做的用词：</w:t>
      </w:r>
    </w:p>
    <w:p>
      <w:pPr>
        <w:ind w:firstLine="840" w:firstLineChars="350"/>
      </w:pPr>
      <w:r>
        <w:rPr>
          <w:rFonts w:hint="eastAsia"/>
        </w:rPr>
        <w:t>正面词采用“宜”，反面词采用“不宜”；</w:t>
      </w:r>
    </w:p>
    <w:p>
      <w:pPr>
        <w:ind w:firstLine="482"/>
      </w:pPr>
      <w:r>
        <w:rPr>
          <w:rFonts w:hint="eastAsia"/>
          <w:b/>
          <w:bCs/>
        </w:rPr>
        <w:t>4）</w:t>
      </w:r>
      <w:r>
        <w:rPr>
          <w:rFonts w:hint="eastAsia"/>
        </w:rPr>
        <w:t>表示有选择，在一定条件下可以这样做的用词：采用“可”。</w:t>
      </w:r>
    </w:p>
    <w:p>
      <w:pPr>
        <w:ind w:firstLine="482"/>
      </w:pPr>
      <w:r>
        <w:rPr>
          <w:rFonts w:hint="eastAsia"/>
          <w:b/>
          <w:bCs/>
        </w:rPr>
        <w:t>2</w:t>
      </w:r>
      <w:r>
        <w:t xml:space="preserve"> </w:t>
      </w:r>
      <w:r>
        <w:rPr>
          <w:rFonts w:hint="eastAsia"/>
        </w:rPr>
        <w:t>条文中指明应按其他有关标准执行的写法为：“应符合······的规定”或“应按······执行”。</w:t>
      </w:r>
    </w:p>
    <w:p>
      <w:pPr>
        <w:widowControl/>
        <w:spacing w:line="240" w:lineRule="auto"/>
        <w:ind w:firstLine="0" w:firstLineChars="0"/>
        <w:jc w:val="left"/>
      </w:pPr>
      <w:r>
        <w:br w:type="page"/>
      </w:r>
    </w:p>
    <w:p>
      <w:pPr>
        <w:pStyle w:val="32"/>
      </w:pPr>
      <w:bookmarkStart w:id="108" w:name="_Toc136506078"/>
      <w:r>
        <w:rPr>
          <w:rFonts w:hint="eastAsia"/>
        </w:rPr>
        <w:t>本规程引用标准名录</w:t>
      </w:r>
      <w:bookmarkEnd w:id="108"/>
    </w:p>
    <w:p>
      <w:pPr>
        <w:spacing w:line="360" w:lineRule="auto"/>
        <w:ind w:firstLine="0" w:firstLineChars="0"/>
      </w:pPr>
      <w:r>
        <w:rPr>
          <w:rFonts w:hint="eastAsia"/>
          <w:bCs/>
          <w:szCs w:val="32"/>
        </w:rPr>
        <w:t>1</w:t>
      </w:r>
      <w:r>
        <w:rPr>
          <w:bCs/>
          <w:szCs w:val="32"/>
        </w:rPr>
        <w:t xml:space="preserve"> </w:t>
      </w:r>
      <w:r>
        <w:rPr>
          <w:rFonts w:hint="eastAsia"/>
          <w:bCs/>
          <w:szCs w:val="32"/>
        </w:rPr>
        <w:t>《建筑与桥梁结构监测技术规范</w:t>
      </w:r>
      <w:r>
        <w:rPr>
          <w:rFonts w:hint="eastAsia"/>
        </w:rPr>
        <w:t>》GB 50982</w:t>
      </w:r>
    </w:p>
    <w:p>
      <w:pPr>
        <w:spacing w:line="360" w:lineRule="auto"/>
        <w:ind w:firstLine="0" w:firstLineChars="0"/>
      </w:pPr>
      <w:r>
        <w:t xml:space="preserve">2 </w:t>
      </w:r>
      <w:r>
        <w:rPr>
          <w:rFonts w:hint="eastAsia"/>
        </w:rPr>
        <w:t>《城市</w:t>
      </w:r>
      <w:r>
        <w:t>桥梁养护技术标准</w:t>
      </w:r>
      <w:r>
        <w:rPr>
          <w:rFonts w:hint="eastAsia"/>
        </w:rPr>
        <w:t>》CJJ 99</w:t>
      </w:r>
    </w:p>
    <w:p>
      <w:pPr>
        <w:spacing w:line="360" w:lineRule="auto"/>
        <w:ind w:firstLine="0" w:firstLineChars="0"/>
      </w:pPr>
      <w:r>
        <w:t xml:space="preserve">3 </w:t>
      </w:r>
      <w:r>
        <w:rPr>
          <w:rFonts w:hint="eastAsia"/>
        </w:rPr>
        <w:t>《城市轨道交通设施运营监测技术规范 第2部分：桥梁》GB/T 39559.2</w:t>
      </w:r>
    </w:p>
    <w:p>
      <w:pPr>
        <w:spacing w:line="360" w:lineRule="auto"/>
        <w:ind w:firstLine="0" w:firstLineChars="0"/>
      </w:pPr>
      <w:r>
        <w:t xml:space="preserve">4 </w:t>
      </w:r>
      <w:r>
        <w:rPr>
          <w:rFonts w:hint="eastAsia"/>
        </w:rPr>
        <w:t>《</w:t>
      </w:r>
      <w:r>
        <w:t>城市桥梁检测与评定技术规范</w:t>
      </w:r>
      <w:r>
        <w:rPr>
          <w:rFonts w:hint="eastAsia"/>
        </w:rPr>
        <w:t>》CJJ/T 233</w:t>
      </w:r>
    </w:p>
    <w:p>
      <w:pPr>
        <w:spacing w:line="360" w:lineRule="auto"/>
        <w:ind w:firstLine="0" w:firstLineChars="0"/>
      </w:pPr>
      <w:r>
        <w:t>5 《</w:t>
      </w:r>
      <w:r>
        <w:rPr>
          <w:rFonts w:hint="eastAsia"/>
        </w:rPr>
        <w:t>公路桥梁</w:t>
      </w:r>
      <w:r>
        <w:t>技术状况评定</w:t>
      </w:r>
      <w:r>
        <w:rPr>
          <w:rFonts w:hint="eastAsia"/>
        </w:rPr>
        <w:t>标准</w:t>
      </w:r>
      <w:r>
        <w:t>》</w:t>
      </w:r>
      <w:r>
        <w:rPr>
          <w:rFonts w:hint="eastAsia"/>
        </w:rPr>
        <w:t xml:space="preserve">JTG/T </w:t>
      </w:r>
      <w:r>
        <w:t>H21</w:t>
      </w:r>
    </w:p>
    <w:p>
      <w:pPr>
        <w:spacing w:line="360" w:lineRule="auto"/>
        <w:ind w:firstLine="0" w:firstLineChars="0"/>
      </w:pPr>
      <w:r>
        <w:rPr>
          <w:rFonts w:hint="eastAsia"/>
          <w:bCs/>
          <w:szCs w:val="32"/>
        </w:rPr>
        <w:t>6</w:t>
      </w:r>
      <w:r>
        <w:rPr>
          <w:bCs/>
          <w:szCs w:val="32"/>
        </w:rPr>
        <w:t xml:space="preserve"> </w:t>
      </w:r>
      <w:r>
        <w:rPr>
          <w:rFonts w:hint="eastAsia"/>
          <w:bCs/>
          <w:szCs w:val="32"/>
        </w:rPr>
        <w:t>《交通信息采集视频交通流检测器》</w:t>
      </w:r>
      <w:r>
        <w:rPr>
          <w:rFonts w:hint="eastAsia"/>
        </w:rPr>
        <w:t>GB/T 24726</w:t>
      </w:r>
      <w:r>
        <w:br w:type="textWrapping"/>
      </w:r>
      <w:r>
        <w:rPr>
          <w:rFonts w:hint="eastAsia"/>
        </w:rPr>
        <w:t>7</w:t>
      </w:r>
      <w:r>
        <w:t xml:space="preserve"> </w:t>
      </w:r>
      <w:r>
        <w:rPr>
          <w:rFonts w:hint="eastAsia"/>
        </w:rPr>
        <w:t>《动态公路车辆自动衡器 第1部分：通用技术规范》GB/T 21296.1</w:t>
      </w:r>
    </w:p>
    <w:p>
      <w:pPr>
        <w:spacing w:line="360" w:lineRule="auto"/>
        <w:ind w:firstLine="0" w:firstLineChars="0"/>
      </w:pPr>
      <w:r>
        <w:rPr>
          <w:rFonts w:hint="eastAsia"/>
        </w:rPr>
        <w:t>8</w:t>
      </w:r>
      <w:r>
        <w:t xml:space="preserve"> </w:t>
      </w:r>
      <w:r>
        <w:rPr>
          <w:rFonts w:hint="eastAsia"/>
        </w:rPr>
        <w:t>《地震行业标准体系》DB/T 1</w:t>
      </w:r>
    </w:p>
    <w:p>
      <w:pPr>
        <w:spacing w:line="360" w:lineRule="auto"/>
        <w:ind w:firstLine="0" w:firstLineChars="0"/>
      </w:pPr>
      <w:r>
        <w:rPr>
          <w:rFonts w:hint="eastAsia"/>
        </w:rPr>
        <w:t>9</w:t>
      </w:r>
      <w:r>
        <w:t xml:space="preserve"> </w:t>
      </w:r>
      <w:r>
        <w:rPr>
          <w:rFonts w:hint="eastAsia"/>
        </w:rPr>
        <w:t>《低轨星载GNSS测量型接收机通用规范》GB/T</w:t>
      </w:r>
      <w:r>
        <w:t xml:space="preserve"> </w:t>
      </w:r>
      <w:r>
        <w:rPr>
          <w:rFonts w:hint="eastAsia"/>
        </w:rPr>
        <w:t>39410</w:t>
      </w:r>
    </w:p>
    <w:p>
      <w:pPr>
        <w:spacing w:line="360" w:lineRule="auto"/>
        <w:ind w:firstLine="0" w:firstLineChars="0"/>
      </w:pPr>
      <w:r>
        <w:rPr>
          <w:rFonts w:hint="eastAsia"/>
        </w:rPr>
        <w:t>1</w:t>
      </w:r>
      <w:r>
        <w:t xml:space="preserve">0 </w:t>
      </w:r>
      <w:r>
        <w:rPr>
          <w:rFonts w:hint="eastAsia"/>
        </w:rPr>
        <w:t>《压力变送器检定规程》JJG</w:t>
      </w:r>
      <w:r>
        <w:t xml:space="preserve"> </w:t>
      </w:r>
      <w:r>
        <w:rPr>
          <w:rFonts w:hint="eastAsia"/>
        </w:rPr>
        <w:t>882</w:t>
      </w:r>
    </w:p>
    <w:p>
      <w:pPr>
        <w:spacing w:line="360" w:lineRule="auto"/>
        <w:ind w:firstLine="0" w:firstLineChars="0"/>
      </w:pPr>
      <w:r>
        <w:rPr>
          <w:rFonts w:hint="eastAsia"/>
        </w:rPr>
        <w:t>1</w:t>
      </w:r>
      <w:r>
        <w:t xml:space="preserve">1 </w:t>
      </w:r>
      <w:r>
        <w:rPr>
          <w:rFonts w:hint="eastAsia"/>
        </w:rPr>
        <w:t>《线位移传感器校准规范》JJF1305</w:t>
      </w:r>
    </w:p>
    <w:p>
      <w:pPr>
        <w:spacing w:line="360" w:lineRule="auto"/>
        <w:ind w:firstLine="0" w:firstLineChars="0"/>
      </w:pPr>
      <w:r>
        <w:rPr>
          <w:rFonts w:hint="eastAsia"/>
        </w:rPr>
        <w:t>1</w:t>
      </w:r>
      <w:r>
        <w:t xml:space="preserve">2 </w:t>
      </w:r>
      <w:r>
        <w:rPr>
          <w:rFonts w:hint="eastAsia"/>
        </w:rPr>
        <w:t>《土木工程用光纤光栅应变传感器》JG/T</w:t>
      </w:r>
      <w:r>
        <w:t xml:space="preserve"> </w:t>
      </w:r>
      <w:r>
        <w:rPr>
          <w:rFonts w:hint="eastAsia"/>
        </w:rPr>
        <w:t>422</w:t>
      </w:r>
    </w:p>
    <w:p>
      <w:pPr>
        <w:spacing w:line="360" w:lineRule="auto"/>
        <w:ind w:firstLine="0" w:firstLineChars="0"/>
      </w:pPr>
      <w:r>
        <w:rPr>
          <w:rFonts w:hint="eastAsia"/>
        </w:rPr>
        <w:t>1</w:t>
      </w:r>
      <w:r>
        <w:t xml:space="preserve">3 </w:t>
      </w:r>
      <w:r>
        <w:rPr>
          <w:rFonts w:hint="eastAsia"/>
        </w:rPr>
        <w:t>《大坝监测仪器 应变计 第二部分：振弦式应变计》GB/T</w:t>
      </w:r>
      <w:r>
        <w:t xml:space="preserve"> </w:t>
      </w:r>
      <w:r>
        <w:rPr>
          <w:rFonts w:hint="eastAsia"/>
        </w:rPr>
        <w:t>3408.2</w:t>
      </w:r>
    </w:p>
    <w:p>
      <w:pPr>
        <w:spacing w:line="360" w:lineRule="auto"/>
        <w:ind w:firstLine="0" w:firstLineChars="0"/>
      </w:pPr>
      <w:r>
        <w:rPr>
          <w:rFonts w:hint="eastAsia"/>
        </w:rPr>
        <w:t>1</w:t>
      </w:r>
      <w:r>
        <w:t xml:space="preserve">4 </w:t>
      </w:r>
      <w:r>
        <w:rPr>
          <w:rFonts w:hint="eastAsia"/>
        </w:rPr>
        <w:t>《电容式加速度传感器校准规范》JJF 1918</w:t>
      </w:r>
    </w:p>
    <w:p>
      <w:pPr>
        <w:spacing w:line="360" w:lineRule="auto"/>
        <w:ind w:firstLine="0" w:firstLineChars="0"/>
      </w:pPr>
      <w:r>
        <w:rPr>
          <w:rFonts w:hint="eastAsia"/>
        </w:rPr>
        <w:t>1</w:t>
      </w:r>
      <w:r>
        <w:t xml:space="preserve">5 </w:t>
      </w:r>
      <w:r>
        <w:rPr>
          <w:rFonts w:hint="eastAsia"/>
        </w:rPr>
        <w:t>《水运工程 钢弦式锚索测力计》JT/T 578</w:t>
      </w:r>
    </w:p>
    <w:p>
      <w:pPr>
        <w:spacing w:line="360" w:lineRule="auto"/>
        <w:ind w:firstLine="0" w:firstLineChars="0"/>
      </w:pPr>
      <w:r>
        <w:rPr>
          <w:rFonts w:hint="eastAsia"/>
        </w:rPr>
        <w:t>1</w:t>
      </w:r>
      <w:r>
        <w:t xml:space="preserve">6 </w:t>
      </w:r>
      <w:r>
        <w:rPr>
          <w:rFonts w:hint="eastAsia"/>
        </w:rPr>
        <w:t>《无损检测 电化学检测 总则》GB/T 38894</w:t>
      </w:r>
    </w:p>
    <w:p>
      <w:pPr>
        <w:spacing w:line="360" w:lineRule="auto"/>
        <w:ind w:firstLine="0" w:firstLineChars="0"/>
      </w:pPr>
      <w:r>
        <w:rPr>
          <w:rFonts w:hint="eastAsia"/>
        </w:rPr>
        <w:t>1</w:t>
      </w:r>
      <w:r>
        <w:t xml:space="preserve">7 </w:t>
      </w:r>
      <w:r>
        <w:rPr>
          <w:rFonts w:hint="eastAsia"/>
        </w:rPr>
        <w:t>《供配电系统设计规范》GB 50052</w:t>
      </w:r>
    </w:p>
    <w:p>
      <w:pPr>
        <w:spacing w:line="360" w:lineRule="auto"/>
        <w:ind w:firstLine="0" w:firstLineChars="0"/>
      </w:pPr>
      <w:r>
        <w:rPr>
          <w:rFonts w:hint="eastAsia"/>
        </w:rPr>
        <w:t>1</w:t>
      </w:r>
      <w:r>
        <w:t xml:space="preserve">8 </w:t>
      </w:r>
      <w:r>
        <w:rPr>
          <w:rFonts w:hint="eastAsia"/>
        </w:rPr>
        <w:t>《低压配电设计规范》GB 50054</w:t>
      </w:r>
    </w:p>
    <w:p>
      <w:pPr>
        <w:spacing w:line="360" w:lineRule="auto"/>
        <w:ind w:firstLine="0" w:firstLineChars="0"/>
      </w:pPr>
      <w:r>
        <w:rPr>
          <w:rFonts w:hint="eastAsia"/>
        </w:rPr>
        <w:t>1</w:t>
      </w:r>
      <w:r>
        <w:t xml:space="preserve">9 </w:t>
      </w:r>
      <w:r>
        <w:rPr>
          <w:rFonts w:hint="eastAsia"/>
        </w:rPr>
        <w:t>《高速公路机电系统防雷技术规范》GB/T 37048</w:t>
      </w:r>
    </w:p>
    <w:p>
      <w:pPr>
        <w:spacing w:line="360" w:lineRule="auto"/>
        <w:ind w:firstLine="0" w:firstLineChars="0"/>
      </w:pPr>
      <w:r>
        <w:rPr>
          <w:rFonts w:hint="eastAsia"/>
        </w:rPr>
        <w:t>2</w:t>
      </w:r>
      <w:r>
        <w:t xml:space="preserve">0 </w:t>
      </w:r>
      <w:r>
        <w:rPr>
          <w:rFonts w:hint="eastAsia"/>
        </w:rPr>
        <w:t>《建筑物电子信息系统防雷技术规范》GB 50343</w:t>
      </w:r>
    </w:p>
    <w:p>
      <w:pPr>
        <w:spacing w:line="360" w:lineRule="auto"/>
        <w:ind w:firstLine="0" w:firstLineChars="0"/>
        <w:rPr>
          <w:rFonts w:cs="Mongolian Baiti"/>
          <w:sz w:val="21"/>
          <w:szCs w:val="24"/>
        </w:rPr>
      </w:pPr>
      <w:r>
        <w:rPr>
          <w:rFonts w:hint="eastAsia" w:cs="Mongolian Baiti"/>
          <w:sz w:val="21"/>
          <w:szCs w:val="24"/>
        </w:rPr>
        <w:t>2</w:t>
      </w:r>
      <w:r>
        <w:rPr>
          <w:rFonts w:cs="Mongolian Baiti"/>
          <w:sz w:val="21"/>
          <w:szCs w:val="24"/>
        </w:rPr>
        <w:t>1 《低压配电系统的电涌保护器（SPD）第1部分：性能要求和实验方法</w:t>
      </w:r>
      <w:r>
        <w:rPr>
          <w:rFonts w:hint="eastAsia" w:cs="Mongolian Baiti"/>
          <w:sz w:val="21"/>
          <w:szCs w:val="24"/>
        </w:rPr>
        <w:t>》G</w:t>
      </w:r>
      <w:r>
        <w:rPr>
          <w:rFonts w:cs="Mongolian Baiti"/>
          <w:sz w:val="21"/>
          <w:szCs w:val="24"/>
        </w:rPr>
        <w:t>B 18802.1</w:t>
      </w:r>
    </w:p>
    <w:p>
      <w:pPr>
        <w:spacing w:line="360" w:lineRule="auto"/>
        <w:ind w:firstLine="0" w:firstLineChars="0"/>
      </w:pPr>
      <w:r>
        <w:rPr>
          <w:rFonts w:hint="eastAsia"/>
        </w:rPr>
        <w:t>2</w:t>
      </w:r>
      <w:r>
        <w:t xml:space="preserve">2 </w:t>
      </w:r>
      <w:r>
        <w:rPr>
          <w:rFonts w:hint="eastAsia"/>
        </w:rPr>
        <w:t>《综合布线系统工程设计规范》GB 50311</w:t>
      </w:r>
    </w:p>
    <w:p>
      <w:pPr>
        <w:spacing w:line="360" w:lineRule="auto"/>
        <w:ind w:firstLine="0" w:firstLineChars="0"/>
      </w:pPr>
      <w:r>
        <w:rPr>
          <w:rFonts w:hint="eastAsia"/>
        </w:rPr>
        <w:t>2</w:t>
      </w:r>
      <w:r>
        <w:t>3 《信息安全技术</w:t>
      </w:r>
      <w:r>
        <w:rPr>
          <w:rFonts w:hint="eastAsia"/>
        </w:rPr>
        <w:t xml:space="preserve"> </w:t>
      </w:r>
      <w:r>
        <w:t>网络安全等级保护基本要求》</w:t>
      </w:r>
      <w:r>
        <w:rPr>
          <w:rFonts w:hint="eastAsia"/>
        </w:rPr>
        <w:t>GB/T</w:t>
      </w:r>
      <w:r>
        <w:t xml:space="preserve"> </w:t>
      </w:r>
      <w:r>
        <w:rPr>
          <w:rFonts w:hint="eastAsia"/>
        </w:rPr>
        <w:t>22239</w:t>
      </w:r>
    </w:p>
    <w:p>
      <w:pPr>
        <w:spacing w:line="360" w:lineRule="auto"/>
        <w:ind w:firstLine="0" w:firstLineChars="0"/>
      </w:pPr>
      <w:r>
        <w:rPr>
          <w:rFonts w:hint="eastAsia"/>
        </w:rPr>
        <w:t>2</w:t>
      </w:r>
      <w:r>
        <w:t xml:space="preserve">4 </w:t>
      </w:r>
      <w:r>
        <w:rPr>
          <w:rFonts w:hint="eastAsia"/>
        </w:rPr>
        <w:t>《信息安全技术 网络安全等级保护安全设计技术要求》GB/T</w:t>
      </w:r>
      <w:r>
        <w:t xml:space="preserve"> </w:t>
      </w:r>
      <w:r>
        <w:rPr>
          <w:rFonts w:hint="eastAsia"/>
        </w:rPr>
        <w:t>25070</w:t>
      </w:r>
    </w:p>
    <w:p>
      <w:pPr>
        <w:spacing w:line="360" w:lineRule="auto"/>
        <w:ind w:firstLine="0" w:firstLineChars="0"/>
      </w:pPr>
      <w:r>
        <w:rPr>
          <w:rFonts w:hint="eastAsia"/>
        </w:rPr>
        <w:t>2</w:t>
      </w:r>
      <w:r>
        <w:t xml:space="preserve">5 </w:t>
      </w:r>
      <w:r>
        <w:rPr>
          <w:rFonts w:hint="eastAsia"/>
        </w:rPr>
        <w:t>《计算机软件文档编制规范》GB/T 8567</w:t>
      </w:r>
    </w:p>
    <w:p>
      <w:pPr>
        <w:spacing w:line="360" w:lineRule="auto"/>
        <w:ind w:firstLine="0" w:firstLineChars="0"/>
      </w:pPr>
      <w:r>
        <w:rPr>
          <w:rFonts w:hint="eastAsia"/>
        </w:rPr>
        <w:t>2</w:t>
      </w:r>
      <w:r>
        <w:t xml:space="preserve">6 </w:t>
      </w:r>
      <w:r>
        <w:rPr>
          <w:rFonts w:hint="eastAsia"/>
        </w:rPr>
        <w:t>《信息安全技术-信息系统通用安全技术要求》GB/T</w:t>
      </w:r>
      <w:r>
        <w:t xml:space="preserve"> </w:t>
      </w:r>
      <w:r>
        <w:rPr>
          <w:rFonts w:hint="eastAsia"/>
        </w:rPr>
        <w:t>20271</w:t>
      </w:r>
    </w:p>
    <w:p>
      <w:pPr>
        <w:spacing w:line="360" w:lineRule="auto"/>
        <w:ind w:firstLine="0" w:firstLineChars="0"/>
      </w:pPr>
      <w:r>
        <w:rPr>
          <w:rFonts w:hint="eastAsia"/>
        </w:rPr>
        <w:t>2</w:t>
      </w:r>
      <w:r>
        <w:t xml:space="preserve">7 </w:t>
      </w:r>
      <w:r>
        <w:rPr>
          <w:rFonts w:hint="eastAsia"/>
        </w:rPr>
        <w:t>《计算机软件测试规范》（GB/T15532）</w:t>
      </w:r>
    </w:p>
    <w:p>
      <w:pPr>
        <w:spacing w:line="360" w:lineRule="auto"/>
        <w:ind w:firstLine="0" w:firstLineChars="0"/>
        <w:sectPr>
          <w:pgSz w:w="11906" w:h="16838"/>
          <w:pgMar w:top="1440" w:right="1800" w:bottom="1440" w:left="1800" w:header="851" w:footer="992" w:gutter="0"/>
          <w:cols w:space="425" w:num="1"/>
          <w:docGrid w:type="lines" w:linePitch="312" w:charSpace="0"/>
        </w:sectPr>
      </w:pPr>
      <w:r>
        <w:rPr>
          <w:rFonts w:hint="eastAsia"/>
        </w:rPr>
        <w:t>2</w:t>
      </w:r>
      <w:r>
        <w:t xml:space="preserve">8 </w:t>
      </w:r>
      <w:r>
        <w:rPr>
          <w:rFonts w:hint="eastAsia"/>
        </w:rPr>
        <w:t>《计算机软件测试文档编制标准》（GB/T 9386）</w:t>
      </w:r>
    </w:p>
    <w:p>
      <w:pPr>
        <w:pStyle w:val="32"/>
        <w:rPr>
          <w:rFonts w:hint="eastAsia"/>
        </w:rPr>
      </w:pPr>
      <w:bookmarkStart w:id="109" w:name="_Toc136506079"/>
    </w:p>
    <w:p>
      <w:pPr>
        <w:pStyle w:val="32"/>
        <w:rPr>
          <w:rFonts w:hint="eastAsia" w:ascii="Times New Roman" w:hAnsi="Times New Roman" w:eastAsia="宋体" w:cstheme="minorBidi"/>
          <w:b w:val="0"/>
          <w:kern w:val="2"/>
          <w:sz w:val="28"/>
          <w:szCs w:val="28"/>
          <w:lang w:val="en-US" w:eastAsia="zh-CN" w:bidi="ar-SA"/>
        </w:rPr>
      </w:pPr>
      <w:r>
        <w:rPr>
          <w:rFonts w:hint="eastAsia" w:ascii="Times New Roman" w:hAnsi="Times New Roman" w:eastAsia="宋体" w:cstheme="minorBidi"/>
          <w:b w:val="0"/>
          <w:kern w:val="2"/>
          <w:sz w:val="28"/>
          <w:szCs w:val="28"/>
          <w:lang w:val="en-US" w:eastAsia="zh-CN" w:bidi="ar-SA"/>
        </w:rPr>
        <w:t>云南省工程建设地方标准</w:t>
      </w:r>
    </w:p>
    <w:p>
      <w:pPr>
        <w:pStyle w:val="32"/>
        <w:rPr>
          <w:rFonts w:hint="eastAsia"/>
          <w:lang w:eastAsia="zh-CN"/>
        </w:rPr>
      </w:pPr>
    </w:p>
    <w:p>
      <w:pPr>
        <w:pStyle w:val="32"/>
        <w:rPr>
          <w:rFonts w:hint="eastAsia"/>
          <w:lang w:eastAsia="zh-CN"/>
        </w:rPr>
      </w:pPr>
    </w:p>
    <w:p>
      <w:pPr>
        <w:pStyle w:val="32"/>
        <w:rPr>
          <w:rFonts w:hint="eastAsia"/>
          <w:lang w:eastAsia="zh-CN"/>
        </w:rPr>
      </w:pPr>
      <w:r>
        <w:rPr>
          <w:rFonts w:hint="eastAsia"/>
          <w:lang w:eastAsia="zh-CN"/>
        </w:rPr>
        <w:t>云南省城市桥梁健康监测系统技术规程</w:t>
      </w:r>
    </w:p>
    <w:p>
      <w:pPr>
        <w:pStyle w:val="32"/>
        <w:rPr>
          <w:rFonts w:hint="eastAsia"/>
          <w:lang w:eastAsia="zh-CN"/>
        </w:rPr>
      </w:pPr>
      <w:r>
        <w:rPr>
          <w:rFonts w:hint="eastAsia"/>
          <w:lang w:eastAsia="zh-CN"/>
        </w:rPr>
        <w:t xml:space="preserve">DBJ </w:t>
      </w:r>
      <w:r>
        <w:rPr>
          <w:rFonts w:hint="eastAsia"/>
          <w:lang w:val="en-US" w:eastAsia="zh-CN"/>
        </w:rPr>
        <w:t>53/T</w:t>
      </w:r>
      <w:r>
        <w:rPr>
          <w:rFonts w:hint="eastAsia"/>
          <w:lang w:eastAsia="zh-CN"/>
        </w:rPr>
        <w:t>-xxx-2023</w:t>
      </w:r>
    </w:p>
    <w:p>
      <w:pPr>
        <w:pStyle w:val="32"/>
        <w:rPr>
          <w:rFonts w:hint="eastAsia"/>
          <w:lang w:eastAsia="zh-CN"/>
        </w:rPr>
      </w:pPr>
    </w:p>
    <w:p>
      <w:pPr>
        <w:pStyle w:val="32"/>
        <w:rPr>
          <w:rFonts w:hint="eastAsia" w:ascii="Times New Roman" w:hAnsi="Times New Roman" w:eastAsia="宋体" w:cstheme="minorBidi"/>
          <w:b w:val="0"/>
          <w:kern w:val="2"/>
          <w:sz w:val="28"/>
          <w:szCs w:val="28"/>
          <w:lang w:val="en-US" w:eastAsia="zh-CN" w:bidi="ar-SA"/>
        </w:rPr>
      </w:pPr>
      <w:r>
        <w:rPr>
          <w:rFonts w:hint="eastAsia" w:ascii="Times New Roman" w:hAnsi="Times New Roman" w:eastAsia="宋体" w:cstheme="minorBidi"/>
          <w:b w:val="0"/>
          <w:kern w:val="2"/>
          <w:sz w:val="28"/>
          <w:szCs w:val="28"/>
          <w:lang w:val="en-US" w:eastAsia="zh-CN" w:bidi="ar-SA"/>
        </w:rPr>
        <w:t>条文说明</w:t>
      </w:r>
    </w:p>
    <w:p>
      <w:pPr>
        <w:pStyle w:val="32"/>
        <w:rPr>
          <w:rFonts w:hint="eastAsia"/>
        </w:rPr>
      </w:pPr>
    </w:p>
    <w:p>
      <w:pPr>
        <w:pStyle w:val="32"/>
        <w:rPr>
          <w:rFonts w:hint="eastAsia"/>
        </w:rPr>
      </w:pPr>
    </w:p>
    <w:p>
      <w:pPr>
        <w:pStyle w:val="32"/>
        <w:rPr>
          <w:rFonts w:hint="eastAsia"/>
        </w:rPr>
      </w:pPr>
    </w:p>
    <w:p>
      <w:pPr>
        <w:pStyle w:val="32"/>
        <w:rPr>
          <w:rFonts w:hint="eastAsia"/>
        </w:rPr>
      </w:pPr>
    </w:p>
    <w:p>
      <w:pPr>
        <w:pStyle w:val="32"/>
        <w:rPr>
          <w:rFonts w:hint="eastAsia"/>
        </w:rPr>
      </w:pPr>
    </w:p>
    <w:p>
      <w:pPr>
        <w:pStyle w:val="32"/>
        <w:rPr>
          <w:rFonts w:hint="eastAsia"/>
        </w:rPr>
      </w:pPr>
    </w:p>
    <w:p>
      <w:pPr>
        <w:pStyle w:val="32"/>
        <w:rPr>
          <w:rFonts w:hint="eastAsia"/>
        </w:rPr>
      </w:pPr>
    </w:p>
    <w:p>
      <w:pPr>
        <w:pStyle w:val="32"/>
        <w:rPr>
          <w:rFonts w:hint="eastAsia"/>
        </w:rPr>
      </w:pPr>
    </w:p>
    <w:p>
      <w:pPr>
        <w:pStyle w:val="32"/>
        <w:rPr>
          <w:rFonts w:hint="eastAsia"/>
        </w:rPr>
      </w:pPr>
    </w:p>
    <w:p>
      <w:pPr>
        <w:pStyle w:val="32"/>
        <w:rPr>
          <w:rFonts w:hint="eastAsia"/>
        </w:rPr>
      </w:pPr>
    </w:p>
    <w:p>
      <w:pPr>
        <w:pStyle w:val="32"/>
        <w:rPr>
          <w:rFonts w:hint="eastAsia"/>
        </w:rPr>
      </w:pPr>
    </w:p>
    <w:p>
      <w:pPr>
        <w:pStyle w:val="32"/>
        <w:rPr>
          <w:rFonts w:hint="eastAsia"/>
        </w:rPr>
      </w:pPr>
    </w:p>
    <w:p>
      <w:pPr>
        <w:pStyle w:val="32"/>
        <w:rPr>
          <w:rFonts w:hint="eastAsia"/>
        </w:rPr>
      </w:pPr>
    </w:p>
    <w:p>
      <w:pPr>
        <w:pStyle w:val="32"/>
        <w:rPr>
          <w:rFonts w:hint="eastAsia"/>
        </w:rPr>
      </w:pPr>
    </w:p>
    <w:p>
      <w:pPr>
        <w:pStyle w:val="32"/>
        <w:rPr>
          <w:rFonts w:hint="eastAsia"/>
        </w:rPr>
      </w:pPr>
    </w:p>
    <w:bookmarkEnd w:id="109"/>
    <w:p>
      <w:pPr>
        <w:pStyle w:val="32"/>
        <w:jc w:val="center"/>
        <w:rPr>
          <w:rFonts w:hint="eastAsia" w:eastAsia="宋体"/>
          <w:lang w:val="en-US" w:eastAsia="zh-CN"/>
        </w:rPr>
      </w:pPr>
      <w:r>
        <w:rPr>
          <w:rFonts w:hint="eastAsia"/>
          <w:lang w:val="en-US" w:eastAsia="zh-CN"/>
        </w:rPr>
        <w:t>目　　次</w:t>
      </w:r>
    </w:p>
    <w:bookmarkEnd w:id="8"/>
    <w:p>
      <w:pPr>
        <w:pStyle w:val="17"/>
        <w:rPr>
          <w:rFonts w:asciiTheme="minorHAnsi" w:hAnsiTheme="minorHAnsi" w:eastAsiaTheme="minorEastAsia"/>
          <w:sz w:val="21"/>
        </w:rPr>
      </w:pPr>
      <w:r>
        <w:fldChar w:fldCharType="begin"/>
      </w:r>
      <w:r>
        <w:instrText xml:space="preserve"> </w:instrText>
      </w:r>
      <w:r>
        <w:rPr>
          <w:rFonts w:hint="eastAsia"/>
        </w:rPr>
        <w:instrText xml:space="preserve">TOC \h \z \t "YN-条文标题1,1,YN-条文标题2,2"</w:instrText>
      </w:r>
      <w:r>
        <w:instrText xml:space="preserve"> </w:instrText>
      </w:r>
      <w:r>
        <w:fldChar w:fldCharType="separate"/>
      </w:r>
      <w:r>
        <w:fldChar w:fldCharType="begin"/>
      </w:r>
      <w:r>
        <w:instrText xml:space="preserve"> HYPERLINK \l "_Toc136504928" </w:instrText>
      </w:r>
      <w:r>
        <w:fldChar w:fldCharType="separate"/>
      </w:r>
      <w:r>
        <w:rPr>
          <w:rStyle w:val="26"/>
          <w:color w:val="auto"/>
        </w:rPr>
        <w:t>2 术语</w:t>
      </w:r>
      <w:r>
        <w:tab/>
      </w:r>
      <w:r>
        <w:fldChar w:fldCharType="begin"/>
      </w:r>
      <w:r>
        <w:instrText xml:space="preserve"> PAGEREF _Toc136504928 \h </w:instrText>
      </w:r>
      <w:r>
        <w:fldChar w:fldCharType="separate"/>
      </w:r>
      <w:r>
        <w:t>95</w:t>
      </w:r>
      <w:r>
        <w:fldChar w:fldCharType="end"/>
      </w:r>
      <w:r>
        <w:fldChar w:fldCharType="end"/>
      </w:r>
    </w:p>
    <w:p>
      <w:pPr>
        <w:pStyle w:val="17"/>
        <w:rPr>
          <w:rFonts w:asciiTheme="minorHAnsi" w:hAnsiTheme="minorHAnsi" w:eastAsiaTheme="minorEastAsia"/>
          <w:sz w:val="21"/>
        </w:rPr>
      </w:pPr>
      <w:r>
        <w:fldChar w:fldCharType="begin"/>
      </w:r>
      <w:r>
        <w:instrText xml:space="preserve"> HYPERLINK \l "_Toc136504929" </w:instrText>
      </w:r>
      <w:r>
        <w:fldChar w:fldCharType="separate"/>
      </w:r>
      <w:r>
        <w:rPr>
          <w:rStyle w:val="26"/>
          <w:color w:val="auto"/>
        </w:rPr>
        <w:t>4 系统设计</w:t>
      </w:r>
      <w:r>
        <w:tab/>
      </w:r>
      <w:r>
        <w:fldChar w:fldCharType="begin"/>
      </w:r>
      <w:r>
        <w:instrText xml:space="preserve"> PAGEREF _Toc136504929 \h </w:instrText>
      </w:r>
      <w:r>
        <w:fldChar w:fldCharType="separate"/>
      </w:r>
      <w:r>
        <w:t>96</w:t>
      </w:r>
      <w:r>
        <w:fldChar w:fldCharType="end"/>
      </w:r>
      <w:r>
        <w:fldChar w:fldCharType="end"/>
      </w:r>
    </w:p>
    <w:p>
      <w:pPr>
        <w:pStyle w:val="20"/>
        <w:rPr>
          <w:rFonts w:asciiTheme="minorHAnsi" w:hAnsiTheme="minorHAnsi" w:eastAsiaTheme="minorEastAsia"/>
          <w:sz w:val="21"/>
        </w:rPr>
      </w:pPr>
      <w:r>
        <w:fldChar w:fldCharType="begin"/>
      </w:r>
      <w:r>
        <w:instrText xml:space="preserve"> HYPERLINK \l "_Toc136504930" </w:instrText>
      </w:r>
      <w:r>
        <w:fldChar w:fldCharType="separate"/>
      </w:r>
      <w:r>
        <w:rPr>
          <w:rStyle w:val="26"/>
          <w:color w:val="auto"/>
        </w:rPr>
        <w:t>4.1 一般规定</w:t>
      </w:r>
      <w:r>
        <w:tab/>
      </w:r>
      <w:r>
        <w:fldChar w:fldCharType="begin"/>
      </w:r>
      <w:r>
        <w:instrText xml:space="preserve"> PAGEREF _Toc136504930 \h </w:instrText>
      </w:r>
      <w:r>
        <w:fldChar w:fldCharType="separate"/>
      </w:r>
      <w:r>
        <w:t>96</w:t>
      </w:r>
      <w:r>
        <w:fldChar w:fldCharType="end"/>
      </w:r>
      <w:r>
        <w:fldChar w:fldCharType="end"/>
      </w:r>
    </w:p>
    <w:p>
      <w:pPr>
        <w:pStyle w:val="20"/>
        <w:rPr>
          <w:rFonts w:asciiTheme="minorHAnsi" w:hAnsiTheme="minorHAnsi" w:eastAsiaTheme="minorEastAsia"/>
          <w:sz w:val="21"/>
        </w:rPr>
      </w:pPr>
      <w:r>
        <w:fldChar w:fldCharType="begin"/>
      </w:r>
      <w:r>
        <w:instrText xml:space="preserve"> HYPERLINK \l "_Toc136504931" </w:instrText>
      </w:r>
      <w:r>
        <w:fldChar w:fldCharType="separate"/>
      </w:r>
      <w:r>
        <w:rPr>
          <w:rStyle w:val="26"/>
          <w:color w:val="auto"/>
        </w:rPr>
        <w:t>4.2 监测内容及测点布设</w:t>
      </w:r>
      <w:r>
        <w:tab/>
      </w:r>
      <w:r>
        <w:fldChar w:fldCharType="begin"/>
      </w:r>
      <w:r>
        <w:instrText xml:space="preserve"> PAGEREF _Toc136504931 \h </w:instrText>
      </w:r>
      <w:r>
        <w:fldChar w:fldCharType="separate"/>
      </w:r>
      <w:r>
        <w:t>96</w:t>
      </w:r>
      <w:r>
        <w:fldChar w:fldCharType="end"/>
      </w:r>
      <w:r>
        <w:fldChar w:fldCharType="end"/>
      </w:r>
    </w:p>
    <w:p>
      <w:pPr>
        <w:pStyle w:val="20"/>
        <w:rPr>
          <w:rFonts w:asciiTheme="minorHAnsi" w:hAnsiTheme="minorHAnsi" w:eastAsiaTheme="minorEastAsia"/>
          <w:sz w:val="21"/>
        </w:rPr>
      </w:pPr>
      <w:r>
        <w:fldChar w:fldCharType="begin"/>
      </w:r>
      <w:r>
        <w:instrText xml:space="preserve"> HYPERLINK \l "_Toc136504932" </w:instrText>
      </w:r>
      <w:r>
        <w:fldChar w:fldCharType="separate"/>
      </w:r>
      <w:r>
        <w:rPr>
          <w:rStyle w:val="26"/>
          <w:color w:val="auto"/>
        </w:rPr>
        <w:t>4.3 监测数据的采集、分析、评估和应用</w:t>
      </w:r>
      <w:r>
        <w:tab/>
      </w:r>
      <w:r>
        <w:fldChar w:fldCharType="begin"/>
      </w:r>
      <w:r>
        <w:instrText xml:space="preserve"> PAGEREF _Toc136504932 \h </w:instrText>
      </w:r>
      <w:r>
        <w:fldChar w:fldCharType="separate"/>
      </w:r>
      <w:r>
        <w:t>98</w:t>
      </w:r>
      <w:r>
        <w:fldChar w:fldCharType="end"/>
      </w:r>
      <w:r>
        <w:fldChar w:fldCharType="end"/>
      </w:r>
    </w:p>
    <w:p>
      <w:pPr>
        <w:pStyle w:val="20"/>
        <w:rPr>
          <w:rFonts w:asciiTheme="minorHAnsi" w:hAnsiTheme="minorHAnsi" w:eastAsiaTheme="minorEastAsia"/>
          <w:sz w:val="21"/>
        </w:rPr>
      </w:pPr>
      <w:r>
        <w:fldChar w:fldCharType="begin"/>
      </w:r>
      <w:r>
        <w:instrText xml:space="preserve"> HYPERLINK \l "_Toc136504933" </w:instrText>
      </w:r>
      <w:r>
        <w:fldChar w:fldCharType="separate"/>
      </w:r>
      <w:r>
        <w:rPr>
          <w:rStyle w:val="26"/>
          <w:color w:val="auto"/>
        </w:rPr>
        <w:t>4.4 硬件系统设计</w:t>
      </w:r>
      <w:r>
        <w:tab/>
      </w:r>
      <w:r>
        <w:fldChar w:fldCharType="begin"/>
      </w:r>
      <w:r>
        <w:instrText xml:space="preserve"> PAGEREF _Toc136504933 \h </w:instrText>
      </w:r>
      <w:r>
        <w:fldChar w:fldCharType="separate"/>
      </w:r>
      <w:r>
        <w:t>100</w:t>
      </w:r>
      <w:r>
        <w:fldChar w:fldCharType="end"/>
      </w:r>
      <w:r>
        <w:fldChar w:fldCharType="end"/>
      </w:r>
    </w:p>
    <w:p>
      <w:pPr>
        <w:pStyle w:val="20"/>
        <w:rPr>
          <w:rFonts w:asciiTheme="minorHAnsi" w:hAnsiTheme="minorHAnsi" w:eastAsiaTheme="minorEastAsia"/>
          <w:sz w:val="21"/>
        </w:rPr>
      </w:pPr>
      <w:r>
        <w:fldChar w:fldCharType="begin"/>
      </w:r>
      <w:r>
        <w:instrText xml:space="preserve"> HYPERLINK \l "_Toc136504934" </w:instrText>
      </w:r>
      <w:r>
        <w:fldChar w:fldCharType="separate"/>
      </w:r>
      <w:r>
        <w:rPr>
          <w:rStyle w:val="26"/>
          <w:color w:val="auto"/>
        </w:rPr>
        <w:t>4.5 软件系统设计</w:t>
      </w:r>
      <w:r>
        <w:tab/>
      </w:r>
      <w:r>
        <w:fldChar w:fldCharType="begin"/>
      </w:r>
      <w:r>
        <w:instrText xml:space="preserve"> PAGEREF _Toc136504934 \h </w:instrText>
      </w:r>
      <w:r>
        <w:fldChar w:fldCharType="separate"/>
      </w:r>
      <w:r>
        <w:t>100</w:t>
      </w:r>
      <w:r>
        <w:fldChar w:fldCharType="end"/>
      </w:r>
      <w:r>
        <w:fldChar w:fldCharType="end"/>
      </w:r>
    </w:p>
    <w:p>
      <w:pPr>
        <w:pStyle w:val="20"/>
        <w:rPr>
          <w:rFonts w:asciiTheme="minorHAnsi" w:hAnsiTheme="minorHAnsi" w:eastAsiaTheme="minorEastAsia"/>
          <w:sz w:val="21"/>
        </w:rPr>
      </w:pPr>
      <w:r>
        <w:fldChar w:fldCharType="begin"/>
      </w:r>
      <w:r>
        <w:instrText xml:space="preserve"> HYPERLINK \l "_Toc136504935" </w:instrText>
      </w:r>
      <w:r>
        <w:fldChar w:fldCharType="separate"/>
      </w:r>
      <w:r>
        <w:rPr>
          <w:rStyle w:val="26"/>
          <w:color w:val="auto"/>
        </w:rPr>
        <w:t>4.6 专线监测设计</w:t>
      </w:r>
      <w:r>
        <w:tab/>
      </w:r>
      <w:r>
        <w:fldChar w:fldCharType="begin"/>
      </w:r>
      <w:r>
        <w:instrText xml:space="preserve"> PAGEREF _Toc136504935 \h </w:instrText>
      </w:r>
      <w:r>
        <w:fldChar w:fldCharType="separate"/>
      </w:r>
      <w:r>
        <w:t>100</w:t>
      </w:r>
      <w:r>
        <w:fldChar w:fldCharType="end"/>
      </w:r>
      <w:r>
        <w:fldChar w:fldCharType="end"/>
      </w:r>
    </w:p>
    <w:p>
      <w:pPr>
        <w:pStyle w:val="20"/>
        <w:rPr>
          <w:rFonts w:asciiTheme="minorHAnsi" w:hAnsiTheme="minorHAnsi" w:eastAsiaTheme="minorEastAsia"/>
          <w:sz w:val="21"/>
        </w:rPr>
      </w:pPr>
      <w:r>
        <w:fldChar w:fldCharType="begin"/>
      </w:r>
      <w:r>
        <w:instrText xml:space="preserve"> HYPERLINK \l "_Toc136504936" </w:instrText>
      </w:r>
      <w:r>
        <w:fldChar w:fldCharType="separate"/>
      </w:r>
      <w:r>
        <w:rPr>
          <w:rStyle w:val="26"/>
          <w:color w:val="auto"/>
        </w:rPr>
        <w:t>4.7 施工期监测及其他数据源的纳入方案</w:t>
      </w:r>
      <w:r>
        <w:tab/>
      </w:r>
      <w:r>
        <w:fldChar w:fldCharType="begin"/>
      </w:r>
      <w:r>
        <w:instrText xml:space="preserve"> PAGEREF _Toc136504936 \h </w:instrText>
      </w:r>
      <w:r>
        <w:fldChar w:fldCharType="separate"/>
      </w:r>
      <w:r>
        <w:t>102</w:t>
      </w:r>
      <w:r>
        <w:fldChar w:fldCharType="end"/>
      </w:r>
      <w:r>
        <w:fldChar w:fldCharType="end"/>
      </w:r>
    </w:p>
    <w:p>
      <w:pPr>
        <w:pStyle w:val="20"/>
        <w:rPr>
          <w:rFonts w:asciiTheme="minorHAnsi" w:hAnsiTheme="minorHAnsi" w:eastAsiaTheme="minorEastAsia"/>
          <w:sz w:val="21"/>
        </w:rPr>
      </w:pPr>
      <w:r>
        <w:fldChar w:fldCharType="begin"/>
      </w:r>
      <w:r>
        <w:instrText xml:space="preserve"> HYPERLINK \l "_Toc136504937" </w:instrText>
      </w:r>
      <w:r>
        <w:fldChar w:fldCharType="separate"/>
      </w:r>
      <w:r>
        <w:rPr>
          <w:rStyle w:val="26"/>
          <w:color w:val="auto"/>
        </w:rPr>
        <w:t>4.8 系统的物联网接入方案</w:t>
      </w:r>
      <w:r>
        <w:tab/>
      </w:r>
      <w:r>
        <w:fldChar w:fldCharType="begin"/>
      </w:r>
      <w:r>
        <w:instrText xml:space="preserve"> PAGEREF _Toc136504937 \h </w:instrText>
      </w:r>
      <w:r>
        <w:fldChar w:fldCharType="separate"/>
      </w:r>
      <w:r>
        <w:t>103</w:t>
      </w:r>
      <w:r>
        <w:fldChar w:fldCharType="end"/>
      </w:r>
      <w:r>
        <w:fldChar w:fldCharType="end"/>
      </w:r>
    </w:p>
    <w:p>
      <w:pPr>
        <w:pStyle w:val="17"/>
        <w:rPr>
          <w:rFonts w:asciiTheme="minorHAnsi" w:hAnsiTheme="minorHAnsi" w:eastAsiaTheme="minorEastAsia"/>
          <w:sz w:val="21"/>
        </w:rPr>
      </w:pPr>
      <w:r>
        <w:fldChar w:fldCharType="begin"/>
      </w:r>
      <w:r>
        <w:instrText xml:space="preserve"> HYPERLINK \l "_Toc136504938" </w:instrText>
      </w:r>
      <w:r>
        <w:fldChar w:fldCharType="separate"/>
      </w:r>
      <w:r>
        <w:rPr>
          <w:rStyle w:val="26"/>
          <w:color w:val="auto"/>
        </w:rPr>
        <w:t>5系统实施</w:t>
      </w:r>
      <w:r>
        <w:tab/>
      </w:r>
      <w:r>
        <w:fldChar w:fldCharType="begin"/>
      </w:r>
      <w:r>
        <w:instrText xml:space="preserve"> PAGEREF _Toc136504938 \h </w:instrText>
      </w:r>
      <w:r>
        <w:fldChar w:fldCharType="separate"/>
      </w:r>
      <w:r>
        <w:t>105</w:t>
      </w:r>
      <w:r>
        <w:fldChar w:fldCharType="end"/>
      </w:r>
      <w:r>
        <w:fldChar w:fldCharType="end"/>
      </w:r>
    </w:p>
    <w:p>
      <w:pPr>
        <w:pStyle w:val="20"/>
        <w:rPr>
          <w:rFonts w:asciiTheme="minorHAnsi" w:hAnsiTheme="minorHAnsi" w:eastAsiaTheme="minorEastAsia"/>
          <w:sz w:val="21"/>
        </w:rPr>
      </w:pPr>
      <w:r>
        <w:fldChar w:fldCharType="begin"/>
      </w:r>
      <w:r>
        <w:instrText xml:space="preserve"> HYPERLINK \l "_Toc136504939" </w:instrText>
      </w:r>
      <w:r>
        <w:fldChar w:fldCharType="separate"/>
      </w:r>
      <w:r>
        <w:rPr>
          <w:rStyle w:val="26"/>
          <w:color w:val="auto"/>
        </w:rPr>
        <w:t>5.1一般规定</w:t>
      </w:r>
      <w:r>
        <w:tab/>
      </w:r>
      <w:r>
        <w:fldChar w:fldCharType="begin"/>
      </w:r>
      <w:r>
        <w:instrText xml:space="preserve"> PAGEREF _Toc136504939 \h </w:instrText>
      </w:r>
      <w:r>
        <w:fldChar w:fldCharType="separate"/>
      </w:r>
      <w:r>
        <w:t>105</w:t>
      </w:r>
      <w:r>
        <w:fldChar w:fldCharType="end"/>
      </w:r>
      <w:r>
        <w:fldChar w:fldCharType="end"/>
      </w:r>
    </w:p>
    <w:p>
      <w:pPr>
        <w:pStyle w:val="20"/>
        <w:rPr>
          <w:rFonts w:asciiTheme="minorHAnsi" w:hAnsiTheme="minorHAnsi" w:eastAsiaTheme="minorEastAsia"/>
          <w:sz w:val="21"/>
        </w:rPr>
      </w:pPr>
      <w:r>
        <w:fldChar w:fldCharType="begin"/>
      </w:r>
      <w:r>
        <w:instrText xml:space="preserve"> HYPERLINK \l "_Toc136504940" </w:instrText>
      </w:r>
      <w:r>
        <w:fldChar w:fldCharType="separate"/>
      </w:r>
      <w:r>
        <w:rPr>
          <w:rStyle w:val="26"/>
          <w:color w:val="auto"/>
        </w:rPr>
        <w:t>5.2系统施工组织</w:t>
      </w:r>
      <w:r>
        <w:tab/>
      </w:r>
      <w:r>
        <w:fldChar w:fldCharType="begin"/>
      </w:r>
      <w:r>
        <w:instrText xml:space="preserve"> PAGEREF _Toc136504940 \h </w:instrText>
      </w:r>
      <w:r>
        <w:fldChar w:fldCharType="separate"/>
      </w:r>
      <w:r>
        <w:t>106</w:t>
      </w:r>
      <w:r>
        <w:fldChar w:fldCharType="end"/>
      </w:r>
      <w:r>
        <w:fldChar w:fldCharType="end"/>
      </w:r>
    </w:p>
    <w:p>
      <w:pPr>
        <w:pStyle w:val="17"/>
        <w:rPr>
          <w:rFonts w:asciiTheme="minorHAnsi" w:hAnsiTheme="minorHAnsi" w:eastAsiaTheme="minorEastAsia"/>
          <w:sz w:val="21"/>
        </w:rPr>
      </w:pPr>
      <w:r>
        <w:fldChar w:fldCharType="begin"/>
      </w:r>
      <w:r>
        <w:instrText xml:space="preserve"> HYPERLINK \l "_Toc136504941" </w:instrText>
      </w:r>
      <w:r>
        <w:fldChar w:fldCharType="separate"/>
      </w:r>
      <w:r>
        <w:rPr>
          <w:rStyle w:val="26"/>
          <w:color w:val="auto"/>
        </w:rPr>
        <w:t>6 系统管理及维护</w:t>
      </w:r>
      <w:r>
        <w:tab/>
      </w:r>
      <w:r>
        <w:fldChar w:fldCharType="begin"/>
      </w:r>
      <w:r>
        <w:instrText xml:space="preserve"> PAGEREF _Toc136504941 \h </w:instrText>
      </w:r>
      <w:r>
        <w:fldChar w:fldCharType="separate"/>
      </w:r>
      <w:r>
        <w:t>108</w:t>
      </w:r>
      <w:r>
        <w:fldChar w:fldCharType="end"/>
      </w:r>
      <w:r>
        <w:fldChar w:fldCharType="end"/>
      </w:r>
    </w:p>
    <w:p>
      <w:pPr>
        <w:pStyle w:val="20"/>
        <w:rPr>
          <w:rFonts w:asciiTheme="minorHAnsi" w:hAnsiTheme="minorHAnsi" w:eastAsiaTheme="minorEastAsia"/>
          <w:sz w:val="21"/>
        </w:rPr>
      </w:pPr>
      <w:r>
        <w:fldChar w:fldCharType="begin"/>
      </w:r>
      <w:r>
        <w:instrText xml:space="preserve"> HYPERLINK \l "_Toc136504942" </w:instrText>
      </w:r>
      <w:r>
        <w:fldChar w:fldCharType="separate"/>
      </w:r>
      <w:r>
        <w:rPr>
          <w:rStyle w:val="26"/>
          <w:color w:val="auto"/>
        </w:rPr>
        <w:t>6.3 专项维护</w:t>
      </w:r>
      <w:r>
        <w:tab/>
      </w:r>
      <w:r>
        <w:fldChar w:fldCharType="begin"/>
      </w:r>
      <w:r>
        <w:instrText xml:space="preserve"> PAGEREF _Toc136504942 \h </w:instrText>
      </w:r>
      <w:r>
        <w:fldChar w:fldCharType="separate"/>
      </w:r>
      <w:r>
        <w:t>108</w:t>
      </w:r>
      <w:r>
        <w:fldChar w:fldCharType="end"/>
      </w:r>
      <w:r>
        <w:fldChar w:fldCharType="end"/>
      </w:r>
    </w:p>
    <w:p>
      <w:pPr>
        <w:pStyle w:val="20"/>
        <w:rPr>
          <w:rFonts w:asciiTheme="minorHAnsi" w:hAnsiTheme="minorHAnsi" w:eastAsiaTheme="minorEastAsia"/>
          <w:sz w:val="21"/>
        </w:rPr>
      </w:pPr>
      <w:r>
        <w:fldChar w:fldCharType="begin"/>
      </w:r>
      <w:r>
        <w:instrText xml:space="preserve"> HYPERLINK \l "_Toc136504943" </w:instrText>
      </w:r>
      <w:r>
        <w:fldChar w:fldCharType="separate"/>
      </w:r>
      <w:r>
        <w:rPr>
          <w:rStyle w:val="26"/>
          <w:color w:val="auto"/>
        </w:rPr>
        <w:t>6.4 异常处置</w:t>
      </w:r>
      <w:r>
        <w:tab/>
      </w:r>
      <w:r>
        <w:fldChar w:fldCharType="begin"/>
      </w:r>
      <w:r>
        <w:instrText xml:space="preserve"> PAGEREF _Toc136504943 \h </w:instrText>
      </w:r>
      <w:r>
        <w:fldChar w:fldCharType="separate"/>
      </w:r>
      <w:r>
        <w:t>108</w:t>
      </w:r>
      <w:r>
        <w:fldChar w:fldCharType="end"/>
      </w:r>
      <w:r>
        <w:fldChar w:fldCharType="end"/>
      </w:r>
    </w:p>
    <w:p>
      <w:pPr>
        <w:ind w:firstLine="0" w:firstLineChars="0"/>
      </w:pPr>
      <w:r>
        <w:fldChar w:fldCharType="end"/>
      </w:r>
    </w:p>
    <w:p>
      <w:pPr>
        <w:ind w:firstLine="480"/>
      </w:pPr>
    </w:p>
    <w:p>
      <w:pPr>
        <w:pStyle w:val="59"/>
      </w:pPr>
      <w:r>
        <w:br w:type="page"/>
      </w:r>
    </w:p>
    <w:p>
      <w:pPr>
        <w:pStyle w:val="58"/>
      </w:pPr>
      <w:bookmarkStart w:id="110" w:name="_Toc130976055"/>
      <w:bookmarkStart w:id="111" w:name="_Toc136504928"/>
      <w:r>
        <w:rPr>
          <w:rFonts w:hint="eastAsia"/>
        </w:rPr>
        <w:t>2</w:t>
      </w:r>
      <w:r>
        <w:t xml:space="preserve"> </w:t>
      </w:r>
      <w:r>
        <w:rPr>
          <w:rFonts w:hint="eastAsia"/>
        </w:rPr>
        <w:t>术语</w:t>
      </w:r>
      <w:bookmarkEnd w:id="110"/>
      <w:bookmarkEnd w:id="111"/>
    </w:p>
    <w:p>
      <w:pPr>
        <w:snapToGrid w:val="0"/>
        <w:spacing w:line="360" w:lineRule="auto"/>
        <w:ind w:firstLine="0" w:firstLineChars="0"/>
      </w:pPr>
      <w:r>
        <w:rPr>
          <w:rFonts w:hint="eastAsia"/>
        </w:rPr>
        <w:t>2</w:t>
      </w:r>
      <w:r>
        <w:t xml:space="preserve">.0.1-2.0.4 </w:t>
      </w:r>
      <w:r>
        <w:rPr>
          <w:rFonts w:hint="eastAsia"/>
        </w:rPr>
        <w:t>监测技术应以结构参数的自动化监控替代桥梁结构的定期检查和特殊检查工作，规范结构性能评价的技术性和专业性，同时拓展技术监测结果的转化应用，从而达到提效降成本的最终目的，而绝非在已有的成本投入中，附加额外的成本。故监测系统及数据应用宜分层次实现，第一层次应能实现监测数据对单项指标完好性能的评定，即单项指标预警阈值设定、误超阈值情况排除机制和超阈值后单项性能指标判定；第二层次应实现多项监测指标的联析联判，实现监测数据对截止点结构整体性能的综合评定，为结构养护维修提供依据；第三层次应实现监测数据的演化分析，从数据变化趋势实现结构在将来演化可能性的预判，为桥梁养护维修提供指导性决策的同时沉淀出预防结构损伤与抑制结构功能退化的技术，为结构设计理论的优化与提高提供基础性支撑。</w:t>
      </w:r>
    </w:p>
    <w:p>
      <w:pPr>
        <w:widowControl/>
        <w:spacing w:line="240" w:lineRule="auto"/>
        <w:ind w:firstLine="0" w:firstLineChars="0"/>
        <w:jc w:val="left"/>
      </w:pPr>
      <w:r>
        <w:br w:type="page"/>
      </w:r>
    </w:p>
    <w:p>
      <w:pPr>
        <w:ind w:firstLine="0" w:firstLineChars="0"/>
      </w:pPr>
    </w:p>
    <w:p>
      <w:pPr>
        <w:pStyle w:val="58"/>
      </w:pPr>
      <w:bookmarkStart w:id="112" w:name="_Toc130976057"/>
      <w:bookmarkStart w:id="113" w:name="_Toc136504929"/>
      <w:r>
        <w:rPr>
          <w:rFonts w:hint="eastAsia"/>
        </w:rPr>
        <w:t>4</w:t>
      </w:r>
      <w:r>
        <w:t xml:space="preserve"> </w:t>
      </w:r>
      <w:r>
        <w:rPr>
          <w:rFonts w:hint="eastAsia"/>
        </w:rPr>
        <w:t>系统设计</w:t>
      </w:r>
      <w:bookmarkEnd w:id="112"/>
      <w:bookmarkEnd w:id="113"/>
    </w:p>
    <w:p>
      <w:pPr>
        <w:pStyle w:val="59"/>
        <w:snapToGrid w:val="0"/>
        <w:spacing w:line="360" w:lineRule="auto"/>
      </w:pPr>
      <w:bookmarkStart w:id="114" w:name="_Toc136504930"/>
      <w:r>
        <w:rPr>
          <w:rFonts w:hint="eastAsia"/>
        </w:rPr>
        <w:t>4</w:t>
      </w:r>
      <w:r>
        <w:t xml:space="preserve">.1 </w:t>
      </w:r>
      <w:r>
        <w:rPr>
          <w:rFonts w:hint="eastAsia"/>
        </w:rPr>
        <w:t>一般规定</w:t>
      </w:r>
      <w:bookmarkEnd w:id="114"/>
    </w:p>
    <w:p>
      <w:pPr>
        <w:snapToGrid w:val="0"/>
        <w:spacing w:line="360" w:lineRule="auto"/>
        <w:ind w:firstLine="0" w:firstLineChars="0"/>
      </w:pPr>
      <w:r>
        <w:rPr>
          <w:rFonts w:hint="eastAsia"/>
        </w:rPr>
        <w:t>4.1.5对于Ⅰ类</w:t>
      </w:r>
      <w:r>
        <w:t>养护城市桥梁</w:t>
      </w:r>
      <w:r>
        <w:rPr>
          <w:rFonts w:hint="eastAsia"/>
        </w:rPr>
        <w:t>，</w:t>
      </w:r>
      <w:r>
        <w:t>通常不允许</w:t>
      </w:r>
      <w:r>
        <w:rPr>
          <w:rFonts w:hint="eastAsia"/>
        </w:rPr>
        <w:t>持续存在不合格状态</w:t>
      </w:r>
      <w:r>
        <w:t>，</w:t>
      </w:r>
      <w:r>
        <w:rPr>
          <w:rFonts w:hint="eastAsia"/>
        </w:rPr>
        <w:t>故</w:t>
      </w:r>
      <w:r>
        <w:t>此</w:t>
      </w:r>
      <w:r>
        <w:rPr>
          <w:rFonts w:hint="eastAsia"/>
        </w:rPr>
        <w:t>处只</w:t>
      </w:r>
      <w:r>
        <w:t>对</w:t>
      </w:r>
      <w:r>
        <w:rPr>
          <w:rFonts w:hint="eastAsia"/>
        </w:rPr>
        <w:t>Ⅱ类</w:t>
      </w:r>
      <w:r>
        <w:t>养护桥梁提出要求。</w:t>
      </w:r>
    </w:p>
    <w:p>
      <w:pPr>
        <w:pStyle w:val="59"/>
        <w:snapToGrid w:val="0"/>
        <w:spacing w:line="360" w:lineRule="auto"/>
      </w:pPr>
      <w:bookmarkStart w:id="115" w:name="_Toc130976058"/>
      <w:bookmarkStart w:id="116" w:name="_Toc136504931"/>
      <w:r>
        <w:rPr>
          <w:rFonts w:hint="eastAsia"/>
        </w:rPr>
        <w:t>4</w:t>
      </w:r>
      <w:r>
        <w:t xml:space="preserve">.2 </w:t>
      </w:r>
      <w:r>
        <w:rPr>
          <w:rFonts w:hint="eastAsia"/>
        </w:rPr>
        <w:t>监测内容及测点布设</w:t>
      </w:r>
      <w:bookmarkEnd w:id="115"/>
      <w:bookmarkEnd w:id="116"/>
    </w:p>
    <w:p>
      <w:pPr>
        <w:snapToGrid w:val="0"/>
        <w:spacing w:line="360" w:lineRule="auto"/>
        <w:ind w:firstLine="0" w:firstLineChars="0"/>
      </w:pPr>
      <w:r>
        <w:rPr>
          <w:rFonts w:hint="eastAsia"/>
        </w:rPr>
        <w:t>4</w:t>
      </w:r>
      <w:r>
        <w:t xml:space="preserve">.2.1 </w:t>
      </w:r>
      <w:r>
        <w:rPr>
          <w:rFonts w:hint="eastAsia"/>
        </w:rPr>
        <w:t>运行环境包括自然环境和运营环境，自然环境包温度、湿度、风、雨、雾等。运营环境包括下穿道路、通航情况等。</w:t>
      </w:r>
    </w:p>
    <w:p>
      <w:pPr>
        <w:snapToGrid w:val="0"/>
        <w:spacing w:line="360" w:lineRule="auto"/>
        <w:ind w:firstLine="0" w:firstLineChars="0"/>
      </w:pPr>
      <w:r>
        <w:rPr>
          <w:rFonts w:hint="eastAsia"/>
        </w:rPr>
        <w:t>4</w:t>
      </w:r>
      <w:r>
        <w:t xml:space="preserve">.2.2 </w:t>
      </w:r>
      <w:r>
        <w:rPr>
          <w:rFonts w:hint="eastAsia"/>
        </w:rPr>
        <w:t>根据《内河通航标准》，V级航道通航船舶为300吨，Ⅵ级航道通航船舶为100吨，Ⅶ级航道通航船舶为50吨。《公路桥梁结构监测技术规范》(JT∕T 1037-2022)要求航道等级为V级以上的桥梁宜进行船撞监测，城市桥梁结构尺寸相对纤细，故船舶撞击监测提高到Ⅵ级。</w:t>
      </w:r>
    </w:p>
    <w:p>
      <w:pPr>
        <w:snapToGrid w:val="0"/>
        <w:spacing w:line="360" w:lineRule="auto"/>
        <w:ind w:firstLine="0" w:firstLineChars="0"/>
      </w:pPr>
      <w:r>
        <w:rPr>
          <w:rFonts w:hint="eastAsia"/>
        </w:rPr>
        <w:t>4</w:t>
      </w:r>
      <w:r>
        <w:t xml:space="preserve">.2.4 </w:t>
      </w:r>
      <w:r>
        <w:rPr>
          <w:rFonts w:hint="eastAsia"/>
        </w:rPr>
        <w:t>根据《</w:t>
      </w:r>
      <w:r>
        <w:t>建筑与桥梁结构监测技术规范</w:t>
      </w:r>
      <w:r>
        <w:rPr>
          <w:rFonts w:hint="eastAsia"/>
        </w:rPr>
        <w:t>》G</w:t>
      </w:r>
      <w:r>
        <w:t>B50982</w:t>
      </w:r>
      <w:r>
        <w:rPr>
          <w:rFonts w:hint="eastAsia"/>
        </w:rPr>
        <w:t>，各类</w:t>
      </w:r>
      <w:r>
        <w:t>型桥均应监测竖向变形</w:t>
      </w:r>
      <w:r>
        <w:rPr>
          <w:rFonts w:hint="eastAsia"/>
        </w:rPr>
        <w:t>（竖向</w:t>
      </w:r>
      <w:r>
        <w:t>线形</w:t>
      </w:r>
      <w:r>
        <w:rPr>
          <w:rFonts w:hint="eastAsia"/>
        </w:rPr>
        <w:t>），交通</w:t>
      </w:r>
      <w:r>
        <w:t>荷载监测</w:t>
      </w:r>
      <w:r>
        <w:rPr>
          <w:rFonts w:hint="eastAsia"/>
        </w:rPr>
        <w:t>作为</w:t>
      </w:r>
      <w:r>
        <w:t>应测项。</w:t>
      </w:r>
    </w:p>
    <w:p>
      <w:pPr>
        <w:snapToGrid w:val="0"/>
        <w:spacing w:line="360" w:lineRule="auto"/>
        <w:ind w:firstLine="0" w:firstLineChars="0"/>
      </w:pPr>
      <w:r>
        <w:tab/>
      </w:r>
      <w:r>
        <w:rPr>
          <w:rFonts w:hint="eastAsia"/>
        </w:rPr>
        <w:t>由于</w:t>
      </w:r>
      <w:r>
        <w:t>城市桥梁的人流量较公路桥梁大，景观桥梁</w:t>
      </w:r>
      <w:r>
        <w:rPr>
          <w:rFonts w:hint="eastAsia"/>
        </w:rPr>
        <w:t>在</w:t>
      </w:r>
      <w:r>
        <w:t>节假日</w:t>
      </w:r>
      <w:r>
        <w:rPr>
          <w:rFonts w:hint="eastAsia"/>
        </w:rPr>
        <w:t>尤为</w:t>
      </w:r>
      <w:r>
        <w:t>突出</w:t>
      </w:r>
      <w:r>
        <w:rPr>
          <w:rFonts w:hint="eastAsia"/>
        </w:rPr>
        <w:t>，为</w:t>
      </w:r>
      <w:r>
        <w:t>便于管控</w:t>
      </w:r>
      <w:r>
        <w:rPr>
          <w:rFonts w:hint="eastAsia"/>
        </w:rPr>
        <w:t>，</w:t>
      </w:r>
      <w:r>
        <w:t>故将</w:t>
      </w:r>
      <w:r>
        <w:rPr>
          <w:rFonts w:hint="eastAsia"/>
        </w:rPr>
        <w:t>人群</w:t>
      </w:r>
      <w:r>
        <w:t>荷载的人流量作为可选</w:t>
      </w:r>
      <w:r>
        <w:rPr>
          <w:rFonts w:hint="eastAsia"/>
        </w:rPr>
        <w:t>监测</w:t>
      </w:r>
      <w:r>
        <w:t>项。</w:t>
      </w:r>
    </w:p>
    <w:p>
      <w:pPr>
        <w:snapToGrid w:val="0"/>
        <w:spacing w:line="360" w:lineRule="auto"/>
        <w:ind w:firstLine="0" w:firstLineChars="0"/>
      </w:pPr>
      <w:r>
        <w:tab/>
      </w:r>
      <w:r>
        <w:t>抗震设防烈度为</w:t>
      </w:r>
      <w:r>
        <w:rPr>
          <w:rFonts w:hint="eastAsia"/>
        </w:rPr>
        <w:t>7</w:t>
      </w:r>
      <w:r>
        <w:t>度</w:t>
      </w:r>
      <w:r>
        <w:rPr>
          <w:rFonts w:hint="eastAsia"/>
        </w:rPr>
        <w:t>的</w:t>
      </w:r>
      <w:r>
        <w:t>表示方法</w:t>
      </w:r>
      <w:r>
        <w:rPr>
          <w:rFonts w:hint="eastAsia"/>
        </w:rPr>
        <w:t>与《城市</w:t>
      </w:r>
      <w:r>
        <w:t>桥梁抗震设计规范</w:t>
      </w:r>
      <w:r>
        <w:rPr>
          <w:rFonts w:hint="eastAsia"/>
        </w:rPr>
        <w:t>》CJJ166保持</w:t>
      </w:r>
      <w:r>
        <w:t>一致</w:t>
      </w:r>
      <w:r>
        <w:rPr>
          <w:rFonts w:hint="eastAsia"/>
        </w:rPr>
        <w:t>。</w:t>
      </w:r>
    </w:p>
    <w:p>
      <w:pPr>
        <w:snapToGrid w:val="0"/>
        <w:spacing w:line="360" w:lineRule="auto"/>
        <w:ind w:firstLine="0" w:firstLineChars="0"/>
      </w:pPr>
      <w:r>
        <w:rPr>
          <w:rFonts w:hint="eastAsia"/>
        </w:rPr>
        <w:t>4</w:t>
      </w:r>
      <w:r>
        <w:t>.2.5</w:t>
      </w:r>
      <w:r>
        <w:rPr>
          <w:rFonts w:hint="eastAsia"/>
        </w:rPr>
        <w:t xml:space="preserve"> 《城市桥梁</w:t>
      </w:r>
      <w:r>
        <w:t>养护技术标准</w:t>
      </w:r>
      <w:r>
        <w:rPr>
          <w:rFonts w:hint="eastAsia"/>
        </w:rPr>
        <w:t>》C</w:t>
      </w:r>
      <w:r>
        <w:t>JJ</w:t>
      </w:r>
      <w:r>
        <w:rPr>
          <w:rFonts w:hint="eastAsia"/>
        </w:rPr>
        <w:t>99要求对</w:t>
      </w:r>
      <w:r>
        <w:t>拱桥及软弱地基桥梁的沉降每年测量1次</w:t>
      </w:r>
      <w:r>
        <w:rPr>
          <w:rFonts w:hint="eastAsia"/>
        </w:rPr>
        <w:t>，且</w:t>
      </w:r>
      <w:r>
        <w:t>拱桥的基础沉降对中小跨径桥梁的</w:t>
      </w:r>
      <w:r>
        <w:rPr>
          <w:rFonts w:hint="eastAsia"/>
        </w:rPr>
        <w:t>受力</w:t>
      </w:r>
      <w:r>
        <w:t>影响较大，故</w:t>
      </w:r>
      <w:r>
        <w:rPr>
          <w:rFonts w:hint="eastAsia"/>
        </w:rPr>
        <w:t>将</w:t>
      </w:r>
      <w:r>
        <w:t>基础沉降作为应测选项。</w:t>
      </w:r>
    </w:p>
    <w:p>
      <w:pPr>
        <w:snapToGrid w:val="0"/>
        <w:spacing w:line="360" w:lineRule="auto"/>
        <w:ind w:firstLine="480"/>
      </w:pPr>
      <w:r>
        <w:rPr>
          <w:rFonts w:hint="eastAsia"/>
        </w:rPr>
        <w:t>裂缝监测</w:t>
      </w:r>
      <w:r>
        <w:t>强调</w:t>
      </w:r>
      <w:r>
        <w:rPr>
          <w:rFonts w:hint="eastAsia"/>
        </w:rPr>
        <w:t>对</w:t>
      </w:r>
      <w:r>
        <w:t>结构性受力裂缝</w:t>
      </w:r>
      <w:r>
        <w:rPr>
          <w:rFonts w:hint="eastAsia"/>
        </w:rPr>
        <w:t>进行</w:t>
      </w:r>
      <w:r>
        <w:t>监测</w:t>
      </w:r>
      <w:r>
        <w:rPr>
          <w:rFonts w:hint="eastAsia"/>
        </w:rPr>
        <w:t>，</w:t>
      </w:r>
      <w:r>
        <w:t>非结构性裂缝则不</w:t>
      </w:r>
      <w:r>
        <w:rPr>
          <w:rFonts w:hint="eastAsia"/>
        </w:rPr>
        <w:t>作要求</w:t>
      </w:r>
      <w:r>
        <w:t>。</w:t>
      </w:r>
    </w:p>
    <w:p>
      <w:pPr>
        <w:snapToGrid w:val="0"/>
        <w:spacing w:line="360" w:lineRule="auto"/>
        <w:ind w:firstLine="480"/>
      </w:pPr>
      <w:r>
        <w:rPr>
          <w:rFonts w:hint="eastAsia"/>
        </w:rPr>
        <w:t>根据《</w:t>
      </w:r>
      <w:r>
        <w:t>建筑与桥梁结构监测技术规范</w:t>
      </w:r>
      <w:r>
        <w:rPr>
          <w:rFonts w:hint="eastAsia"/>
        </w:rPr>
        <w:t>》G</w:t>
      </w:r>
      <w:r>
        <w:t>B50982</w:t>
      </w:r>
      <w:r>
        <w:rPr>
          <w:rFonts w:hint="eastAsia"/>
        </w:rPr>
        <w:t>，交通</w:t>
      </w:r>
      <w:r>
        <w:t>荷载监测</w:t>
      </w:r>
      <w:r>
        <w:rPr>
          <w:rFonts w:hint="eastAsia"/>
        </w:rPr>
        <w:t>作为</w:t>
      </w:r>
      <w:r>
        <w:t>应测项。</w:t>
      </w:r>
    </w:p>
    <w:p>
      <w:pPr>
        <w:snapToGrid w:val="0"/>
        <w:spacing w:line="360" w:lineRule="auto"/>
        <w:ind w:firstLine="0" w:firstLineChars="0"/>
      </w:pPr>
      <w:r>
        <w:rPr>
          <w:rFonts w:hint="eastAsia"/>
        </w:rPr>
        <w:t>4</w:t>
      </w:r>
      <w:r>
        <w:t>.2.6</w:t>
      </w:r>
      <w:r>
        <w:rPr>
          <w:rFonts w:hint="eastAsia"/>
        </w:rPr>
        <w:t>根据《城市桥梁</w:t>
      </w:r>
      <w:r>
        <w:t>养护技术标准</w:t>
      </w:r>
      <w:r>
        <w:rPr>
          <w:rFonts w:hint="eastAsia"/>
        </w:rPr>
        <w:t>》CJJ99，悬索</w:t>
      </w:r>
      <w:r>
        <w:t>桥和</w:t>
      </w:r>
      <w:r>
        <w:rPr>
          <w:rFonts w:hint="eastAsia"/>
        </w:rPr>
        <w:t>斜拉</w:t>
      </w:r>
      <w:r>
        <w:t>桥在特殊气候条件下</w:t>
      </w:r>
      <w:r>
        <w:rPr>
          <w:rFonts w:hint="eastAsia"/>
        </w:rPr>
        <w:t>应</w:t>
      </w:r>
      <w:r>
        <w:t>进行通行限制管控</w:t>
      </w:r>
      <w:r>
        <w:rPr>
          <w:rFonts w:hint="eastAsia"/>
        </w:rPr>
        <w:t>，故将有雾情况</w:t>
      </w:r>
      <w:r>
        <w:t>的</w:t>
      </w:r>
      <w:r>
        <w:rPr>
          <w:rFonts w:hint="eastAsia"/>
        </w:rPr>
        <w:t>能见度和雨天</w:t>
      </w:r>
      <w:r>
        <w:t>的</w:t>
      </w:r>
      <w:r>
        <w:rPr>
          <w:rFonts w:hint="eastAsia"/>
        </w:rPr>
        <w:t>风速</w:t>
      </w:r>
      <w:r>
        <w:t>作为应测</w:t>
      </w:r>
      <w:r>
        <w:rPr>
          <w:rFonts w:hint="eastAsia"/>
        </w:rPr>
        <w:t>监测项，</w:t>
      </w:r>
      <w:r>
        <w:t>便于通行</w:t>
      </w:r>
      <w:r>
        <w:rPr>
          <w:rFonts w:hint="eastAsia"/>
        </w:rPr>
        <w:t>警示</w:t>
      </w:r>
      <w:r>
        <w:t>管控。</w:t>
      </w:r>
    </w:p>
    <w:p>
      <w:pPr>
        <w:snapToGrid w:val="0"/>
        <w:spacing w:line="360" w:lineRule="auto"/>
        <w:ind w:firstLine="480"/>
      </w:pPr>
      <w:r>
        <w:rPr>
          <w:rFonts w:hint="eastAsia"/>
        </w:rPr>
        <w:t>根据《城市桥梁</w:t>
      </w:r>
      <w:r>
        <w:t>养护技术标准</w:t>
      </w:r>
      <w:r>
        <w:rPr>
          <w:rFonts w:hint="eastAsia"/>
        </w:rPr>
        <w:t>》C</w:t>
      </w:r>
      <w:r>
        <w:t>JJ</w:t>
      </w:r>
      <w:r>
        <w:rPr>
          <w:rFonts w:hint="eastAsia"/>
        </w:rPr>
        <w:t>99，</w:t>
      </w:r>
      <w:r>
        <w:t>对岸跨有辅墩的斜拉桥，应每年至少对主塔与辅墩的沉降量和不均匀沉降</w:t>
      </w:r>
      <w:r>
        <w:rPr>
          <w:rFonts w:hint="eastAsia"/>
        </w:rPr>
        <w:t>量</w:t>
      </w:r>
      <w:r>
        <w:t>进行一次监测</w:t>
      </w:r>
      <w:r>
        <w:rPr>
          <w:rFonts w:hint="eastAsia"/>
        </w:rPr>
        <w:t>，</w:t>
      </w:r>
      <w:r>
        <w:t>故将</w:t>
      </w:r>
      <w:r>
        <w:rPr>
          <w:rFonts w:hint="eastAsia"/>
        </w:rPr>
        <w:t>该</w:t>
      </w:r>
      <w:r>
        <w:t>类桥的基础沉降量作为应测项</w:t>
      </w:r>
      <w:r>
        <w:rPr>
          <w:rFonts w:hint="eastAsia"/>
        </w:rPr>
        <w:t>。</w:t>
      </w:r>
    </w:p>
    <w:p>
      <w:pPr>
        <w:snapToGrid w:val="0"/>
        <w:spacing w:line="360" w:lineRule="auto"/>
        <w:ind w:firstLine="480"/>
      </w:pPr>
      <w:r>
        <w:rPr>
          <w:rFonts w:hint="eastAsia"/>
        </w:rPr>
        <w:t>《建筑与桥梁结构监测技术规范》GB</w:t>
      </w:r>
      <w:r>
        <w:t>50982</w:t>
      </w:r>
      <w:r>
        <w:rPr>
          <w:rFonts w:hint="eastAsia"/>
        </w:rPr>
        <w:t>将</w:t>
      </w:r>
      <w:r>
        <w:t>各</w:t>
      </w:r>
      <w:r>
        <w:rPr>
          <w:rFonts w:hint="eastAsia"/>
        </w:rPr>
        <w:t>类</w:t>
      </w:r>
      <w:r>
        <w:t>型</w:t>
      </w:r>
      <w:r>
        <w:rPr>
          <w:rFonts w:hint="eastAsia"/>
        </w:rPr>
        <w:t>桥</w:t>
      </w:r>
      <w:r>
        <w:t>的基础沉降作为宜测项，故</w:t>
      </w:r>
      <w:r>
        <w:rPr>
          <w:rFonts w:hint="eastAsia"/>
        </w:rPr>
        <w:t>本</w:t>
      </w:r>
      <w:r>
        <w:t>规程将</w:t>
      </w:r>
      <w:r>
        <w:rPr>
          <w:rFonts w:hint="eastAsia"/>
        </w:rPr>
        <w:t>无</w:t>
      </w:r>
      <w:r>
        <w:t>辅助墩的桥梁作为宜测项</w:t>
      </w:r>
      <w:r>
        <w:rPr>
          <w:rFonts w:hint="eastAsia"/>
        </w:rPr>
        <w:t>。</w:t>
      </w:r>
    </w:p>
    <w:p>
      <w:pPr>
        <w:snapToGrid w:val="0"/>
        <w:spacing w:line="360" w:lineRule="auto"/>
        <w:ind w:firstLine="0" w:firstLineChars="0"/>
      </w:pPr>
      <w:r>
        <w:rPr>
          <w:rFonts w:hint="eastAsia"/>
        </w:rPr>
        <w:t>4</w:t>
      </w:r>
      <w:r>
        <w:t>.2.7</w:t>
      </w:r>
      <w:r>
        <w:rPr>
          <w:rFonts w:hint="eastAsia"/>
        </w:rPr>
        <w:t>根据4.2.</w:t>
      </w:r>
      <w:r>
        <w:t>6</w:t>
      </w:r>
      <w:r>
        <w:rPr>
          <w:rFonts w:hint="eastAsia"/>
        </w:rPr>
        <w:t>条文</w:t>
      </w:r>
      <w:r>
        <w:t>说明</w:t>
      </w:r>
      <w:r>
        <w:rPr>
          <w:rFonts w:hint="eastAsia"/>
        </w:rPr>
        <w:t>，将有雾</w:t>
      </w:r>
      <w:r>
        <w:t>天气下的能见度和</w:t>
      </w:r>
      <w:r>
        <w:rPr>
          <w:rFonts w:hint="eastAsia"/>
        </w:rPr>
        <w:t>大风</w:t>
      </w:r>
      <w:r>
        <w:t>天气下风速作为</w:t>
      </w:r>
      <w:r>
        <w:rPr>
          <w:rFonts w:hint="eastAsia"/>
        </w:rPr>
        <w:t>应</w:t>
      </w:r>
      <w:r>
        <w:t>监测选项</w:t>
      </w:r>
      <w:r>
        <w:rPr>
          <w:rFonts w:hint="eastAsia"/>
        </w:rPr>
        <w:t>。</w:t>
      </w:r>
    </w:p>
    <w:p>
      <w:pPr>
        <w:snapToGrid w:val="0"/>
        <w:spacing w:line="360" w:lineRule="auto"/>
        <w:ind w:firstLine="480"/>
      </w:pPr>
      <w:r>
        <w:rPr>
          <w:rFonts w:hint="eastAsia"/>
        </w:rPr>
        <w:t>由于</w:t>
      </w:r>
      <w:r>
        <w:t>悬索桥加劲梁通常为连续结构，故吊索索力不要求监测全桥索力，监测有代表性的索即可。</w:t>
      </w:r>
    </w:p>
    <w:p>
      <w:pPr>
        <w:snapToGrid w:val="0"/>
        <w:spacing w:line="360" w:lineRule="auto"/>
        <w:ind w:firstLine="480"/>
      </w:pPr>
      <w:r>
        <w:rPr>
          <w:rFonts w:hint="eastAsia"/>
        </w:rPr>
        <w:t>根据《建筑与桥梁结构监测技术规范》GB50982要求，各型桥</w:t>
      </w:r>
      <w:r>
        <w:t>的基础</w:t>
      </w:r>
      <w:r>
        <w:rPr>
          <w:rFonts w:hint="eastAsia"/>
        </w:rPr>
        <w:t>沉降作</w:t>
      </w:r>
      <w:r>
        <w:t>为宜测项。</w:t>
      </w:r>
    </w:p>
    <w:p>
      <w:pPr>
        <w:snapToGrid w:val="0"/>
        <w:spacing w:line="360" w:lineRule="auto"/>
        <w:ind w:firstLine="0" w:firstLineChars="0"/>
      </w:pPr>
      <w:r>
        <w:rPr>
          <w:rFonts w:hint="eastAsia"/>
        </w:rPr>
        <w:t>4</w:t>
      </w:r>
      <w:r>
        <w:t>.2.8</w:t>
      </w:r>
      <w:r>
        <w:rPr>
          <w:rFonts w:hint="eastAsia"/>
        </w:rPr>
        <w:t>根据《城市桥梁</w:t>
      </w:r>
      <w:r>
        <w:t>养护技术标准</w:t>
      </w:r>
      <w:r>
        <w:rPr>
          <w:rFonts w:hint="eastAsia"/>
        </w:rPr>
        <w:t>》CJJ99要求</w:t>
      </w:r>
      <w:r>
        <w:t>，</w:t>
      </w:r>
      <w:r>
        <w:rPr>
          <w:rFonts w:hint="eastAsia"/>
        </w:rPr>
        <w:t>悬索桥发生</w:t>
      </w:r>
      <w:r>
        <w:t>涡</w:t>
      </w:r>
      <w:r>
        <w:rPr>
          <w:rFonts w:hint="eastAsia"/>
        </w:rPr>
        <w:t>振时应</w:t>
      </w:r>
      <w:r>
        <w:t>启动视频录像</w:t>
      </w:r>
      <w:r>
        <w:rPr>
          <w:rFonts w:hint="eastAsia"/>
        </w:rPr>
        <w:t>，</w:t>
      </w:r>
      <w:r>
        <w:t>作为特殊事件进行记录</w:t>
      </w:r>
      <w:r>
        <w:rPr>
          <w:rFonts w:hint="eastAsia"/>
        </w:rPr>
        <w:t>。</w:t>
      </w:r>
    </w:p>
    <w:p>
      <w:pPr>
        <w:snapToGrid w:val="0"/>
        <w:spacing w:line="360" w:lineRule="auto"/>
        <w:ind w:firstLine="0" w:firstLineChars="0"/>
      </w:pPr>
      <w:r>
        <w:rPr>
          <w:rFonts w:hint="eastAsia"/>
        </w:rPr>
        <w:t>4</w:t>
      </w:r>
      <w:r>
        <w:t>.2.10</w:t>
      </w:r>
      <w:r>
        <w:rPr>
          <w:rFonts w:hint="eastAsia"/>
        </w:rPr>
        <w:t>对于量</w:t>
      </w:r>
      <w:r>
        <w:t>大面广的</w:t>
      </w:r>
      <w:r>
        <w:rPr>
          <w:rFonts w:hint="eastAsia"/>
        </w:rPr>
        <w:t>常规</w:t>
      </w:r>
      <w:r>
        <w:t>跨径桥梁，</w:t>
      </w:r>
      <w:r>
        <w:rPr>
          <w:rFonts w:hint="eastAsia"/>
        </w:rPr>
        <w:t>难以</w:t>
      </w:r>
      <w:r>
        <w:t>做到全面监测，为</w:t>
      </w:r>
      <w:r>
        <w:rPr>
          <w:rFonts w:hint="eastAsia"/>
        </w:rPr>
        <w:t>兼顾</w:t>
      </w:r>
      <w:r>
        <w:t>经济性</w:t>
      </w:r>
      <w:r>
        <w:rPr>
          <w:rFonts w:hint="eastAsia"/>
        </w:rPr>
        <w:t>和</w:t>
      </w:r>
      <w:r>
        <w:t>代表性</w:t>
      </w:r>
      <w:r>
        <w:rPr>
          <w:rFonts w:hint="eastAsia"/>
        </w:rPr>
        <w:t>，主要</w:t>
      </w:r>
      <w:r>
        <w:t>选择结构响应和结构变化中的</w:t>
      </w:r>
      <w:r>
        <w:rPr>
          <w:rFonts w:hint="eastAsia"/>
        </w:rPr>
        <w:t>重要监测内容进行</w:t>
      </w:r>
      <w:r>
        <w:t>监测</w:t>
      </w:r>
      <w:r>
        <w:rPr>
          <w:rFonts w:hint="eastAsia"/>
        </w:rPr>
        <w:t>。</w:t>
      </w:r>
      <w:r>
        <w:t>当</w:t>
      </w:r>
      <w:r>
        <w:rPr>
          <w:rFonts w:hint="eastAsia"/>
        </w:rPr>
        <w:t>桥梁</w:t>
      </w:r>
      <w:r>
        <w:t>结构</w:t>
      </w:r>
      <w:r>
        <w:rPr>
          <w:rFonts w:hint="eastAsia"/>
        </w:rPr>
        <w:t>存在</w:t>
      </w:r>
      <w:r>
        <w:t>特定异常状况</w:t>
      </w:r>
      <w:r>
        <w:rPr>
          <w:rFonts w:hint="eastAsia"/>
        </w:rPr>
        <w:t>时</w:t>
      </w:r>
      <w:r>
        <w:t>，也可</w:t>
      </w:r>
      <w:r>
        <w:rPr>
          <w:rFonts w:hint="eastAsia"/>
        </w:rPr>
        <w:t>就</w:t>
      </w:r>
      <w:r>
        <w:t>特定目的</w:t>
      </w:r>
      <w:r>
        <w:rPr>
          <w:rFonts w:hint="eastAsia"/>
        </w:rPr>
        <w:t>有针对性地</w:t>
      </w:r>
      <w:r>
        <w:t>开展专项监测。</w:t>
      </w:r>
      <w:r>
        <w:rPr>
          <w:rFonts w:hint="eastAsia"/>
        </w:rPr>
        <w:t>上</w:t>
      </w:r>
      <w:r>
        <w:t>承</w:t>
      </w:r>
      <w:r>
        <w:rPr>
          <w:rFonts w:hint="eastAsia"/>
        </w:rPr>
        <w:t>式中小</w:t>
      </w:r>
      <w:r>
        <w:t>跨径拱桥的</w:t>
      </w:r>
      <w:r>
        <w:rPr>
          <w:rFonts w:hint="eastAsia"/>
        </w:rPr>
        <w:t>梁</w:t>
      </w:r>
      <w:r>
        <w:t>式上</w:t>
      </w:r>
      <w:r>
        <w:rPr>
          <w:rFonts w:hint="eastAsia"/>
        </w:rPr>
        <w:t>部</w:t>
      </w:r>
      <w:r>
        <w:t>结构多</w:t>
      </w:r>
      <w:r>
        <w:rPr>
          <w:rFonts w:hint="eastAsia"/>
        </w:rPr>
        <w:t>为</w:t>
      </w:r>
      <w:r>
        <w:t>简支结构，故</w:t>
      </w:r>
      <w:r>
        <w:rPr>
          <w:rFonts w:hint="eastAsia"/>
        </w:rPr>
        <w:t>将其</w:t>
      </w:r>
      <w:r>
        <w:t>支座反力</w:t>
      </w:r>
      <w:r>
        <w:rPr>
          <w:rFonts w:hint="eastAsia"/>
        </w:rPr>
        <w:t>作为</w:t>
      </w:r>
      <w:r>
        <w:t>可选</w:t>
      </w:r>
      <w:r>
        <w:rPr>
          <w:rFonts w:hint="eastAsia"/>
        </w:rPr>
        <w:t>监测</w:t>
      </w:r>
      <w:r>
        <w:t>项。</w:t>
      </w:r>
    </w:p>
    <w:p>
      <w:pPr>
        <w:snapToGrid w:val="0"/>
        <w:spacing w:line="360" w:lineRule="auto"/>
        <w:ind w:firstLine="0" w:firstLineChars="0"/>
      </w:pPr>
      <w:r>
        <w:rPr>
          <w:rFonts w:hint="eastAsia"/>
        </w:rPr>
        <w:t>4.2.</w:t>
      </w:r>
      <w:r>
        <w:t>11</w:t>
      </w:r>
      <w:r>
        <w:rPr>
          <w:rFonts w:hint="eastAsia"/>
        </w:rPr>
        <w:t>监测测点的布设位置应兼顾代表性、经济性、易维护性、可更换性和现场布设约束性。</w:t>
      </w:r>
      <w:r>
        <w:t>可利用结构的对称性，减少</w:t>
      </w:r>
      <w:r>
        <w:rPr>
          <w:rFonts w:hint="eastAsia"/>
        </w:rPr>
        <w:t>监测</w:t>
      </w:r>
      <w:r>
        <w:t>测点布置</w:t>
      </w:r>
      <w:r>
        <w:rPr>
          <w:rFonts w:hint="eastAsia"/>
        </w:rPr>
        <w:t>数量，</w:t>
      </w:r>
      <w:r>
        <w:t>以使</w:t>
      </w:r>
      <w:r>
        <w:rPr>
          <w:rFonts w:hint="eastAsia"/>
        </w:rPr>
        <w:t>健康</w:t>
      </w:r>
      <w:r>
        <w:t>监测系统经济。</w:t>
      </w:r>
      <w:r>
        <w:rPr>
          <w:rFonts w:hint="eastAsia"/>
        </w:rPr>
        <w:t>测点</w:t>
      </w:r>
      <w:r>
        <w:t>位置宜便于监测设备的安装、维护和</w:t>
      </w:r>
      <w:r>
        <w:rPr>
          <w:rFonts w:hint="eastAsia"/>
        </w:rPr>
        <w:t>更换，</w:t>
      </w:r>
      <w:r>
        <w:t>不应妨碍监测对象的正常使用</w:t>
      </w:r>
      <w:r>
        <w:rPr>
          <w:rFonts w:hint="eastAsia"/>
        </w:rPr>
        <w:t>。</w:t>
      </w:r>
    </w:p>
    <w:p>
      <w:pPr>
        <w:snapToGrid w:val="0"/>
        <w:spacing w:line="360" w:lineRule="auto"/>
        <w:ind w:firstLine="0" w:firstLineChars="0"/>
      </w:pPr>
      <w:r>
        <w:rPr>
          <w:rFonts w:hint="eastAsia"/>
        </w:rPr>
        <w:t>4</w:t>
      </w:r>
      <w:r>
        <w:t>.2.12</w:t>
      </w:r>
      <w:r>
        <w:rPr>
          <w:rFonts w:hint="eastAsia"/>
        </w:rPr>
        <w:t>为使</w:t>
      </w:r>
      <w:r>
        <w:t>监测</w:t>
      </w:r>
      <w:r>
        <w:rPr>
          <w:rFonts w:hint="eastAsia"/>
        </w:rPr>
        <w:t>结果</w:t>
      </w:r>
      <w:r>
        <w:t>的稳定和</w:t>
      </w:r>
      <w:r>
        <w:rPr>
          <w:rFonts w:hint="eastAsia"/>
        </w:rPr>
        <w:t>便于</w:t>
      </w:r>
      <w:r>
        <w:t>分析</w:t>
      </w:r>
      <w:r>
        <w:rPr>
          <w:rFonts w:hint="eastAsia"/>
        </w:rPr>
        <w:t>，监测测点</w:t>
      </w:r>
      <w:r>
        <w:t>的位置应</w:t>
      </w:r>
      <w:r>
        <w:rPr>
          <w:rFonts w:hint="eastAsia"/>
        </w:rPr>
        <w:t>避开局部</w:t>
      </w:r>
      <w:r>
        <w:t>施工缺陷</w:t>
      </w:r>
      <w:r>
        <w:rPr>
          <w:rFonts w:hint="eastAsia"/>
        </w:rPr>
        <w:t>位置，</w:t>
      </w:r>
      <w:r>
        <w:t>但</w:t>
      </w:r>
      <w:r>
        <w:rPr>
          <w:rFonts w:hint="eastAsia"/>
        </w:rPr>
        <w:t>监测</w:t>
      </w:r>
      <w:r>
        <w:t>截面</w:t>
      </w:r>
      <w:r>
        <w:rPr>
          <w:rFonts w:hint="eastAsia"/>
        </w:rPr>
        <w:t>应包括</w:t>
      </w:r>
      <w:r>
        <w:t>施工缺陷部位。</w:t>
      </w:r>
    </w:p>
    <w:p>
      <w:pPr>
        <w:snapToGrid w:val="0"/>
        <w:spacing w:line="360" w:lineRule="auto"/>
        <w:ind w:firstLine="0" w:firstLineChars="0"/>
      </w:pPr>
      <w:r>
        <w:rPr>
          <w:rFonts w:hint="eastAsia"/>
        </w:rPr>
        <w:t>4</w:t>
      </w:r>
      <w:r>
        <w:t>.2.13</w:t>
      </w:r>
      <w:r>
        <w:rPr>
          <w:rFonts w:hint="eastAsia"/>
        </w:rPr>
        <w:t>由于</w:t>
      </w:r>
      <w:r>
        <w:t>当前传感器的寿命一般</w:t>
      </w:r>
      <w:r>
        <w:rPr>
          <w:rFonts w:hint="eastAsia"/>
        </w:rPr>
        <w:t>只有</w:t>
      </w:r>
      <w:r>
        <w:t>2～5</w:t>
      </w:r>
      <w:r>
        <w:rPr>
          <w:rFonts w:hint="eastAsia"/>
        </w:rPr>
        <w:t>年，具体寿命视现场情况而定</w:t>
      </w:r>
      <w:r>
        <w:t>，</w:t>
      </w:r>
      <w:r>
        <w:rPr>
          <w:rFonts w:hint="eastAsia"/>
        </w:rPr>
        <w:t>由于现场安装</w:t>
      </w:r>
      <w:r>
        <w:t>质量</w:t>
      </w:r>
      <w:r>
        <w:rPr>
          <w:rFonts w:hint="eastAsia"/>
        </w:rPr>
        <w:t>难以完全</w:t>
      </w:r>
      <w:r>
        <w:t>保证</w:t>
      </w:r>
      <w:r>
        <w:rPr>
          <w:rFonts w:hint="eastAsia"/>
        </w:rPr>
        <w:t>，</w:t>
      </w:r>
      <w:r>
        <w:t>且处于</w:t>
      </w:r>
      <w:r>
        <w:rPr>
          <w:rFonts w:hint="eastAsia"/>
        </w:rPr>
        <w:t>户外现场</w:t>
      </w:r>
      <w:r>
        <w:t>环境，故</w:t>
      </w:r>
      <w:r>
        <w:rPr>
          <w:rFonts w:hint="eastAsia"/>
        </w:rPr>
        <w:t>测点</w:t>
      </w:r>
      <w:r>
        <w:t>布设时</w:t>
      </w:r>
      <w:r>
        <w:rPr>
          <w:rFonts w:hint="eastAsia"/>
        </w:rPr>
        <w:t>应设置一定</w:t>
      </w:r>
      <w:r>
        <w:t>的冗余。</w:t>
      </w:r>
    </w:p>
    <w:p>
      <w:pPr>
        <w:snapToGrid w:val="0"/>
        <w:spacing w:line="360" w:lineRule="auto"/>
        <w:ind w:firstLine="0" w:firstLineChars="0"/>
      </w:pPr>
      <w:r>
        <w:rPr>
          <w:rFonts w:hint="eastAsia"/>
        </w:rPr>
        <w:t>4</w:t>
      </w:r>
      <w:r>
        <w:t>.2.17</w:t>
      </w:r>
      <w:r>
        <w:rPr>
          <w:rFonts w:hint="eastAsia"/>
        </w:rPr>
        <w:t xml:space="preserve"> </w:t>
      </w:r>
      <w:r>
        <w:t xml:space="preserve"> </w:t>
      </w:r>
      <w:r>
        <w:rPr>
          <w:rFonts w:hint="eastAsia"/>
        </w:rPr>
        <w:t>应变测点测量值</w:t>
      </w:r>
      <w:r>
        <w:t>受温度</w:t>
      </w:r>
      <w:r>
        <w:rPr>
          <w:rFonts w:hint="eastAsia"/>
        </w:rPr>
        <w:t>影响</w:t>
      </w:r>
      <w:r>
        <w:t>较大</w:t>
      </w:r>
      <w:r>
        <w:rPr>
          <w:rFonts w:hint="eastAsia"/>
        </w:rPr>
        <w:t>，故温度</w:t>
      </w:r>
      <w:r>
        <w:t>补偿测点应随应变</w:t>
      </w:r>
      <w:r>
        <w:rPr>
          <w:rFonts w:hint="eastAsia"/>
        </w:rPr>
        <w:t>测点</w:t>
      </w:r>
      <w:r>
        <w:t>布设，</w:t>
      </w:r>
      <w:r>
        <w:rPr>
          <w:rFonts w:hint="eastAsia"/>
        </w:rPr>
        <w:t>温度</w:t>
      </w:r>
      <w:r>
        <w:t>补偿测点</w:t>
      </w:r>
      <w:r>
        <w:rPr>
          <w:rFonts w:hint="eastAsia"/>
        </w:rPr>
        <w:t>与</w:t>
      </w:r>
      <w:r>
        <w:t>结构温度测点</w:t>
      </w:r>
      <w:r>
        <w:rPr>
          <w:rFonts w:hint="eastAsia"/>
        </w:rPr>
        <w:t>应优先保证温度</w:t>
      </w:r>
      <w:r>
        <w:t>补偿测点</w:t>
      </w:r>
      <w:r>
        <w:rPr>
          <w:rFonts w:hint="eastAsia"/>
        </w:rPr>
        <w:t>位置</w:t>
      </w:r>
      <w:r>
        <w:t>的准确性</w:t>
      </w:r>
      <w:r>
        <w:rPr>
          <w:rFonts w:hint="eastAsia"/>
        </w:rPr>
        <w:t>。</w:t>
      </w:r>
    </w:p>
    <w:p>
      <w:pPr>
        <w:snapToGrid w:val="0"/>
        <w:spacing w:line="360" w:lineRule="auto"/>
        <w:ind w:firstLine="480"/>
      </w:pPr>
      <w:r>
        <w:rPr>
          <w:rFonts w:hint="eastAsia"/>
        </w:rPr>
        <w:t>为保证</w:t>
      </w:r>
      <w:r>
        <w:t>传感器的耐久性，</w:t>
      </w:r>
      <w:r>
        <w:rPr>
          <w:rFonts w:hint="eastAsia"/>
        </w:rPr>
        <w:t>船舶</w:t>
      </w:r>
      <w:r>
        <w:t>撞击监测测点</w:t>
      </w:r>
      <w:r>
        <w:rPr>
          <w:rFonts w:hint="eastAsia"/>
        </w:rPr>
        <w:t>宜</w:t>
      </w:r>
      <w:r>
        <w:t>布置在水面</w:t>
      </w:r>
      <w:r>
        <w:rPr>
          <w:rFonts w:hint="eastAsia"/>
        </w:rPr>
        <w:t>浪溅</w:t>
      </w:r>
      <w:r>
        <w:t>区以上</w:t>
      </w:r>
      <w:r>
        <w:rPr>
          <w:rFonts w:hint="eastAsia"/>
        </w:rPr>
        <w:t>。</w:t>
      </w:r>
    </w:p>
    <w:p>
      <w:pPr>
        <w:snapToGrid w:val="0"/>
        <w:spacing w:line="360" w:lineRule="auto"/>
        <w:ind w:firstLine="480"/>
      </w:pPr>
      <w:r>
        <w:rPr>
          <w:rFonts w:hint="eastAsia"/>
        </w:rPr>
        <w:t>地</w:t>
      </w:r>
      <w:r>
        <w:t>振动监测测点宜布</w:t>
      </w:r>
      <w:r>
        <w:rPr>
          <w:rFonts w:hint="eastAsia"/>
        </w:rPr>
        <w:t>设</w:t>
      </w:r>
      <w:r>
        <w:t>于主墩。</w:t>
      </w:r>
      <w:r>
        <w:rPr>
          <w:rFonts w:hint="eastAsia"/>
        </w:rPr>
        <w:t>两岸</w:t>
      </w:r>
      <w:r>
        <w:t>的</w:t>
      </w:r>
      <w:r>
        <w:rPr>
          <w:rFonts w:hint="eastAsia"/>
        </w:rPr>
        <w:t>护岸在</w:t>
      </w:r>
      <w:r>
        <w:t>地震作用下可能垮塌</w:t>
      </w:r>
      <w:r>
        <w:rPr>
          <w:rFonts w:hint="eastAsia"/>
        </w:rPr>
        <w:t>，</w:t>
      </w:r>
      <w:r>
        <w:t>不宜</w:t>
      </w:r>
      <w:r>
        <w:rPr>
          <w:rFonts w:hint="eastAsia"/>
        </w:rPr>
        <w:t>直接</w:t>
      </w:r>
      <w:r>
        <w:t>布设</w:t>
      </w:r>
      <w:r>
        <w:rPr>
          <w:rFonts w:hint="eastAsia"/>
        </w:rPr>
        <w:t>监测点</w:t>
      </w:r>
      <w:r>
        <w:t>，如</w:t>
      </w:r>
      <w:r>
        <w:rPr>
          <w:rFonts w:hint="eastAsia"/>
        </w:rPr>
        <w:t>因</w:t>
      </w:r>
      <w:r>
        <w:t>条件受限而布置</w:t>
      </w:r>
      <w:r>
        <w:rPr>
          <w:rFonts w:hint="eastAsia"/>
        </w:rPr>
        <w:t>，</w:t>
      </w:r>
      <w:r>
        <w:t>则应</w:t>
      </w:r>
      <w:r>
        <w:rPr>
          <w:rFonts w:hint="eastAsia"/>
        </w:rPr>
        <w:t>离</w:t>
      </w:r>
      <w:r>
        <w:t>护岸边缘保持</w:t>
      </w:r>
      <w:r>
        <w:rPr>
          <w:rFonts w:hint="eastAsia"/>
        </w:rPr>
        <w:t>一定</w:t>
      </w:r>
      <w:r>
        <w:t>距离</w:t>
      </w:r>
      <w:r>
        <w:rPr>
          <w:rFonts w:hint="eastAsia"/>
        </w:rPr>
        <w:t>，</w:t>
      </w:r>
      <w:r>
        <w:t>保证监测点的完好。</w:t>
      </w:r>
    </w:p>
    <w:p>
      <w:pPr>
        <w:snapToGrid w:val="0"/>
        <w:spacing w:line="360" w:lineRule="auto"/>
        <w:ind w:firstLine="0" w:firstLineChars="0"/>
      </w:pPr>
      <w:r>
        <w:t>4.2.18</w:t>
      </w:r>
      <w:r>
        <w:rPr>
          <w:rFonts w:hint="eastAsia"/>
        </w:rPr>
        <w:t>关键截面</w:t>
      </w:r>
      <w:r>
        <w:t>和部位</w:t>
      </w:r>
      <w:r>
        <w:rPr>
          <w:rFonts w:hint="eastAsia"/>
        </w:rPr>
        <w:t>的监测测点</w:t>
      </w:r>
      <w:r>
        <w:t>设置</w:t>
      </w:r>
      <w:r>
        <w:rPr>
          <w:rFonts w:hint="eastAsia"/>
        </w:rPr>
        <w:t>在</w:t>
      </w:r>
      <w:r>
        <w:t>传力路线</w:t>
      </w:r>
      <w:r>
        <w:rPr>
          <w:rFonts w:hint="eastAsia"/>
        </w:rPr>
        <w:t>明确</w:t>
      </w:r>
      <w:r>
        <w:t>的部位便于</w:t>
      </w:r>
      <w:r>
        <w:rPr>
          <w:rFonts w:hint="eastAsia"/>
        </w:rPr>
        <w:t>前期</w:t>
      </w:r>
      <w:r>
        <w:t>计算和</w:t>
      </w:r>
      <w:r>
        <w:rPr>
          <w:rFonts w:hint="eastAsia"/>
        </w:rPr>
        <w:t>后期整体</w:t>
      </w:r>
      <w:r>
        <w:t>分析评估。</w:t>
      </w:r>
      <w:r>
        <w:rPr>
          <w:rFonts w:hint="eastAsia"/>
        </w:rPr>
        <w:t>由于</w:t>
      </w:r>
      <w:r>
        <w:t>应变监测</w:t>
      </w:r>
      <w:r>
        <w:rPr>
          <w:rFonts w:hint="eastAsia"/>
        </w:rPr>
        <w:t>受到</w:t>
      </w:r>
      <w:r>
        <w:t>的影响因素较多，一个测点</w:t>
      </w:r>
      <w:r>
        <w:rPr>
          <w:rFonts w:hint="eastAsia"/>
        </w:rPr>
        <w:t>代表性通常</w:t>
      </w:r>
      <w:r>
        <w:t>不足</w:t>
      </w:r>
      <w:r>
        <w:rPr>
          <w:rFonts w:hint="eastAsia"/>
        </w:rPr>
        <w:t>，</w:t>
      </w:r>
      <w:r>
        <w:t>故</w:t>
      </w:r>
      <w:r>
        <w:rPr>
          <w:rFonts w:hint="eastAsia"/>
        </w:rPr>
        <w:t>同一</w:t>
      </w:r>
      <w:r>
        <w:t>部位要求不宜少于</w:t>
      </w:r>
      <w:r>
        <w:rPr>
          <w:rFonts w:hint="eastAsia"/>
        </w:rPr>
        <w:t>2个</w:t>
      </w:r>
      <w:r>
        <w:t>监测点</w:t>
      </w:r>
      <w:r>
        <w:rPr>
          <w:rFonts w:hint="eastAsia"/>
        </w:rPr>
        <w:t>。</w:t>
      </w:r>
    </w:p>
    <w:p>
      <w:pPr>
        <w:snapToGrid w:val="0"/>
        <w:spacing w:line="360" w:lineRule="auto"/>
        <w:ind w:firstLine="480"/>
      </w:pPr>
      <w:r>
        <w:rPr>
          <w:rFonts w:hint="eastAsia"/>
        </w:rPr>
        <w:t>由于</w:t>
      </w:r>
      <w:r>
        <w:t>圬工</w:t>
      </w:r>
      <w:r>
        <w:rPr>
          <w:rFonts w:hint="eastAsia"/>
        </w:rPr>
        <w:t>拱桥</w:t>
      </w:r>
      <w:r>
        <w:t>的</w:t>
      </w:r>
      <w:r>
        <w:rPr>
          <w:rFonts w:hint="eastAsia"/>
        </w:rPr>
        <w:t>截面</w:t>
      </w:r>
      <w:r>
        <w:t>整体性</w:t>
      </w:r>
      <w:r>
        <w:rPr>
          <w:rFonts w:hint="eastAsia"/>
        </w:rPr>
        <w:t>通常</w:t>
      </w:r>
      <w:r>
        <w:t>不如混凝土结构或钢结构，其</w:t>
      </w:r>
      <w:r>
        <w:rPr>
          <w:rFonts w:hint="eastAsia"/>
        </w:rPr>
        <w:t>同一</w:t>
      </w:r>
      <w:r>
        <w:t>截面的</w:t>
      </w:r>
      <w:r>
        <w:rPr>
          <w:rFonts w:hint="eastAsia"/>
        </w:rPr>
        <w:t>上下</w:t>
      </w:r>
      <w:r>
        <w:t>缘受力不能</w:t>
      </w:r>
      <w:r>
        <w:rPr>
          <w:rFonts w:hint="eastAsia"/>
        </w:rPr>
        <w:t>保证</w:t>
      </w:r>
      <w:r>
        <w:t>完全协调，故</w:t>
      </w:r>
      <w:r>
        <w:rPr>
          <w:rFonts w:hint="eastAsia"/>
        </w:rPr>
        <w:t>宜</w:t>
      </w:r>
      <w:r>
        <w:t>同时布置</w:t>
      </w:r>
      <w:r>
        <w:rPr>
          <w:rFonts w:hint="eastAsia"/>
        </w:rPr>
        <w:t>应变</w:t>
      </w:r>
      <w:r>
        <w:t>监测</w:t>
      </w:r>
      <w:r>
        <w:rPr>
          <w:rFonts w:hint="eastAsia"/>
        </w:rPr>
        <w:t>测</w:t>
      </w:r>
      <w:r>
        <w:t>点</w:t>
      </w:r>
      <w:r>
        <w:rPr>
          <w:rFonts w:hint="eastAsia"/>
        </w:rPr>
        <w:t>。</w:t>
      </w:r>
    </w:p>
    <w:p>
      <w:pPr>
        <w:snapToGrid w:val="0"/>
        <w:spacing w:line="360" w:lineRule="auto"/>
        <w:ind w:firstLine="480"/>
      </w:pPr>
      <w:r>
        <w:rPr>
          <w:rFonts w:hint="eastAsia"/>
        </w:rPr>
        <w:t>根据《城市桥梁</w:t>
      </w:r>
      <w:r>
        <w:t>养护技术标准</w:t>
      </w:r>
      <w:r>
        <w:rPr>
          <w:rFonts w:hint="eastAsia"/>
        </w:rPr>
        <w:t>》CJJ99，要求</w:t>
      </w:r>
      <w:r>
        <w:t>每年</w:t>
      </w:r>
      <w:r>
        <w:rPr>
          <w:rFonts w:hint="eastAsia"/>
        </w:rPr>
        <w:t>测量1次吊杆拉</w:t>
      </w:r>
      <w:r>
        <w:t>力，</w:t>
      </w:r>
      <w:r>
        <w:rPr>
          <w:rFonts w:hint="eastAsia"/>
        </w:rPr>
        <w:t>当拱桥</w:t>
      </w:r>
      <w:r>
        <w:t>的桥面</w:t>
      </w:r>
      <w:r>
        <w:rPr>
          <w:rFonts w:hint="eastAsia"/>
        </w:rPr>
        <w:t>结构</w:t>
      </w:r>
      <w:r>
        <w:t>为简支结构</w:t>
      </w:r>
      <w:r>
        <w:rPr>
          <w:rFonts w:hint="eastAsia"/>
        </w:rPr>
        <w:t>时</w:t>
      </w:r>
      <w:r>
        <w:t>，吊杆断索的风险则较大，故</w:t>
      </w:r>
      <w:r>
        <w:rPr>
          <w:rFonts w:hint="eastAsia"/>
        </w:rPr>
        <w:t>宜</w:t>
      </w:r>
      <w:r>
        <w:t>对全桥</w:t>
      </w:r>
      <w:r>
        <w:rPr>
          <w:rFonts w:hint="eastAsia"/>
        </w:rPr>
        <w:t>吊杆拉力</w:t>
      </w:r>
      <w:r>
        <w:t>进行监测。</w:t>
      </w:r>
      <w:r>
        <w:rPr>
          <w:rFonts w:hint="eastAsia"/>
        </w:rPr>
        <w:t>《城市桥梁</w:t>
      </w:r>
      <w:r>
        <w:t>养护技术标准</w:t>
      </w:r>
      <w:r>
        <w:rPr>
          <w:rFonts w:hint="eastAsia"/>
        </w:rPr>
        <w:t>》C</w:t>
      </w:r>
      <w:r>
        <w:t>JJ</w:t>
      </w:r>
      <w:r>
        <w:rPr>
          <w:rFonts w:hint="eastAsia"/>
        </w:rPr>
        <w:t>99要求</w:t>
      </w:r>
      <w:r>
        <w:t>每年</w:t>
      </w:r>
      <w:r>
        <w:rPr>
          <w:rFonts w:hint="eastAsia"/>
        </w:rPr>
        <w:t>测量1次</w:t>
      </w:r>
      <w:r>
        <w:t>拉索索力，故</w:t>
      </w:r>
      <w:r>
        <w:rPr>
          <w:rFonts w:hint="eastAsia"/>
        </w:rPr>
        <w:t>对宜</w:t>
      </w:r>
      <w:r>
        <w:t>对全桥</w:t>
      </w:r>
      <w:r>
        <w:rPr>
          <w:rFonts w:hint="eastAsia"/>
        </w:rPr>
        <w:t>斜</w:t>
      </w:r>
      <w:r>
        <w:t>拉索</w:t>
      </w:r>
      <w:r>
        <w:rPr>
          <w:rFonts w:hint="eastAsia"/>
        </w:rPr>
        <w:t>索力</w:t>
      </w:r>
      <w:r>
        <w:t>进行监测。</w:t>
      </w:r>
    </w:p>
    <w:p>
      <w:pPr>
        <w:snapToGrid w:val="0"/>
        <w:spacing w:line="360" w:lineRule="auto"/>
        <w:ind w:firstLine="480"/>
      </w:pPr>
      <w:r>
        <w:rPr>
          <w:rFonts w:hint="eastAsia"/>
        </w:rPr>
        <w:t>《建筑与桥梁结构监测技术规范》</w:t>
      </w:r>
      <w:r>
        <w:t>GB50982</w:t>
      </w:r>
      <w:r>
        <w:rPr>
          <w:rFonts w:hint="eastAsia"/>
        </w:rPr>
        <w:t>要求</w:t>
      </w:r>
      <w:r>
        <w:t>应包括索力最大的索、</w:t>
      </w:r>
      <w:r>
        <w:rPr>
          <w:rFonts w:hint="eastAsia"/>
        </w:rPr>
        <w:t>应力幅</w:t>
      </w:r>
      <w:r>
        <w:t>最大的索</w:t>
      </w:r>
      <w:r>
        <w:rPr>
          <w:rFonts w:hint="eastAsia"/>
        </w:rPr>
        <w:t>及</w:t>
      </w:r>
      <w:r>
        <w:t>安全系数最小的的索</w:t>
      </w:r>
      <w:r>
        <w:rPr>
          <w:rFonts w:hint="eastAsia"/>
        </w:rPr>
        <w:t>。</w:t>
      </w:r>
    </w:p>
    <w:p>
      <w:pPr>
        <w:snapToGrid w:val="0"/>
        <w:spacing w:line="360" w:lineRule="auto"/>
        <w:ind w:firstLine="480"/>
        <w:rPr>
          <w:rFonts w:eastAsia="楷体"/>
          <w:szCs w:val="24"/>
        </w:rPr>
      </w:pPr>
      <w:r>
        <w:rPr>
          <w:rFonts w:hint="eastAsia"/>
        </w:rPr>
        <w:t>悬索桥</w:t>
      </w:r>
      <w:r>
        <w:t>锚跨索股力</w:t>
      </w:r>
      <w:r>
        <w:rPr>
          <w:rFonts w:hint="eastAsia"/>
        </w:rPr>
        <w:t>监测</w:t>
      </w:r>
      <w:r>
        <w:t>点</w:t>
      </w:r>
      <w:r>
        <w:rPr>
          <w:rFonts w:hint="eastAsia"/>
        </w:rPr>
        <w:t>沿</w:t>
      </w:r>
      <w:r>
        <w:t>周边</w:t>
      </w:r>
      <w:r>
        <w:rPr>
          <w:rFonts w:hint="eastAsia"/>
        </w:rPr>
        <w:t>上下</w:t>
      </w:r>
      <w:r>
        <w:t>左右布设</w:t>
      </w:r>
      <w:r>
        <w:rPr>
          <w:rFonts w:hint="eastAsia"/>
        </w:rPr>
        <w:t>，</w:t>
      </w:r>
      <w:r>
        <w:t>每个</w:t>
      </w:r>
      <w:r>
        <w:rPr>
          <w:rFonts w:hint="eastAsia"/>
        </w:rPr>
        <w:t>方向</w:t>
      </w:r>
      <w:r>
        <w:t>不少于</w:t>
      </w:r>
      <w:r>
        <w:rPr>
          <w:rFonts w:hint="eastAsia"/>
        </w:rPr>
        <w:t>2个</w:t>
      </w:r>
      <w:r>
        <w:t>监测点，</w:t>
      </w:r>
      <w:r>
        <w:rPr>
          <w:rFonts w:hint="eastAsia"/>
        </w:rPr>
        <w:t>以</w:t>
      </w:r>
      <w:r>
        <w:t>使</w:t>
      </w:r>
      <w:r>
        <w:rPr>
          <w:rFonts w:hint="eastAsia"/>
        </w:rPr>
        <w:t>监测</w:t>
      </w:r>
      <w:r>
        <w:t>的索力在一定程度上</w:t>
      </w:r>
      <w:r>
        <w:rPr>
          <w:rFonts w:hint="eastAsia"/>
        </w:rPr>
        <w:t>反映主缆</w:t>
      </w:r>
      <w:r>
        <w:t>的</w:t>
      </w:r>
      <w:r>
        <w:rPr>
          <w:rFonts w:hint="eastAsia"/>
        </w:rPr>
        <w:t>索股</w:t>
      </w:r>
      <w:r>
        <w:t>索力分布情况。</w:t>
      </w:r>
    </w:p>
    <w:p>
      <w:pPr>
        <w:snapToGrid w:val="0"/>
        <w:spacing w:line="360" w:lineRule="auto"/>
        <w:ind w:firstLine="480"/>
      </w:pPr>
      <w:r>
        <w:rPr>
          <w:rFonts w:hint="eastAsia"/>
        </w:rPr>
        <w:t>支反力</w:t>
      </w:r>
      <w:r>
        <w:t>监测的主要目的是</w:t>
      </w:r>
      <w:r>
        <w:rPr>
          <w:rFonts w:hint="eastAsia"/>
        </w:rPr>
        <w:t>避免桥梁</w:t>
      </w:r>
      <w:r>
        <w:t>的横向失稳等倾覆性破坏。</w:t>
      </w:r>
      <w:r>
        <w:rPr>
          <w:rFonts w:hint="eastAsia"/>
        </w:rPr>
        <w:t>支反力直接</w:t>
      </w:r>
      <w:r>
        <w:t>监测有困难时，可通过</w:t>
      </w:r>
      <w:r>
        <w:rPr>
          <w:rFonts w:hint="eastAsia"/>
        </w:rPr>
        <w:t>间接</w:t>
      </w:r>
      <w:r>
        <w:t>监测支座变形</w:t>
      </w:r>
      <w:r>
        <w:rPr>
          <w:rFonts w:hint="eastAsia"/>
        </w:rPr>
        <w:t>、</w:t>
      </w:r>
      <w:r>
        <w:t>支座-梁</w:t>
      </w:r>
      <w:r>
        <w:rPr>
          <w:rFonts w:hint="eastAsia"/>
        </w:rPr>
        <w:t>相对</w:t>
      </w:r>
      <w:r>
        <w:t>位移来实现对横向失稳等倾覆性破坏</w:t>
      </w:r>
      <w:r>
        <w:rPr>
          <w:rFonts w:hint="eastAsia"/>
        </w:rPr>
        <w:t>的</w:t>
      </w:r>
      <w:r>
        <w:t>监测。</w:t>
      </w:r>
    </w:p>
    <w:p>
      <w:pPr>
        <w:snapToGrid w:val="0"/>
        <w:spacing w:line="360" w:lineRule="auto"/>
        <w:ind w:firstLine="480"/>
      </w:pPr>
      <w:r>
        <w:rPr>
          <w:rFonts w:hint="eastAsia"/>
        </w:rPr>
        <w:t>由于已要求振动</w:t>
      </w:r>
      <w:r>
        <w:t>监测测点布置在振型</w:t>
      </w:r>
      <w:r>
        <w:rPr>
          <w:rFonts w:hint="eastAsia"/>
        </w:rPr>
        <w:t>各</w:t>
      </w:r>
      <w:r>
        <w:t>峰值点处</w:t>
      </w:r>
      <w:r>
        <w:rPr>
          <w:rFonts w:hint="eastAsia"/>
        </w:rPr>
        <w:t>，</w:t>
      </w:r>
      <w:r>
        <w:t>而主跨跨中和</w:t>
      </w:r>
      <w:r>
        <w:rPr>
          <w:rFonts w:hint="eastAsia"/>
        </w:rPr>
        <w:t>1/4、3/4</w:t>
      </w:r>
      <w:r>
        <w:t>主跨</w:t>
      </w:r>
      <w:r>
        <w:rPr>
          <w:rFonts w:hint="eastAsia"/>
        </w:rPr>
        <w:t>不</w:t>
      </w:r>
      <w:r>
        <w:t>一定是峰值点</w:t>
      </w:r>
      <w:r>
        <w:rPr>
          <w:rFonts w:hint="eastAsia"/>
        </w:rPr>
        <w:t>，</w:t>
      </w:r>
      <w:r>
        <w:t>故</w:t>
      </w:r>
      <w:r>
        <w:rPr>
          <w:rFonts w:hint="eastAsia"/>
        </w:rPr>
        <w:t>未</w:t>
      </w:r>
      <w:r>
        <w:t>要求布置在</w:t>
      </w:r>
      <w:r>
        <w:rPr>
          <w:rFonts w:hint="eastAsia"/>
        </w:rPr>
        <w:t>上述</w:t>
      </w:r>
      <w:r>
        <w:t>位置。</w:t>
      </w:r>
      <w:r>
        <w:rPr>
          <w:rFonts w:hint="eastAsia"/>
        </w:rPr>
        <w:t>主梁</w:t>
      </w:r>
      <w:r>
        <w:t>纵向振动</w:t>
      </w:r>
      <w:r>
        <w:rPr>
          <w:rFonts w:hint="eastAsia"/>
        </w:rPr>
        <w:t>的监测</w:t>
      </w:r>
      <w:r>
        <w:t>测点选择在竖向振动分量较</w:t>
      </w:r>
      <w:r>
        <w:rPr>
          <w:rFonts w:hint="eastAsia"/>
        </w:rPr>
        <w:t>小</w:t>
      </w:r>
      <w:r>
        <w:t>的位置，</w:t>
      </w:r>
      <w:r>
        <w:rPr>
          <w:rFonts w:hint="eastAsia"/>
        </w:rPr>
        <w:t>端</w:t>
      </w:r>
      <w:r>
        <w:t>支座处可能</w:t>
      </w:r>
      <w:r>
        <w:rPr>
          <w:rFonts w:hint="eastAsia"/>
        </w:rPr>
        <w:t>受到</w:t>
      </w:r>
      <w:r>
        <w:t>伸缩缝处车辆冲击荷载的影响，故选择在塔梁</w:t>
      </w:r>
      <w:r>
        <w:rPr>
          <w:rFonts w:hint="eastAsia"/>
        </w:rPr>
        <w:t>固</w:t>
      </w:r>
      <w:r>
        <w:t>接处或</w:t>
      </w:r>
      <w:r>
        <w:rPr>
          <w:rFonts w:hint="eastAsia"/>
        </w:rPr>
        <w:t>中间</w:t>
      </w:r>
      <w:r>
        <w:t>支座位置处</w:t>
      </w:r>
      <w:r>
        <w:rPr>
          <w:rFonts w:hint="eastAsia"/>
        </w:rPr>
        <w:t>设置纵向</w:t>
      </w:r>
      <w:r>
        <w:t>振动监测测点</w:t>
      </w:r>
      <w:r>
        <w:rPr>
          <w:rFonts w:hint="eastAsia"/>
        </w:rPr>
        <w:t>。</w:t>
      </w:r>
    </w:p>
    <w:p>
      <w:pPr>
        <w:snapToGrid w:val="0"/>
        <w:spacing w:line="360" w:lineRule="auto"/>
        <w:ind w:firstLine="0" w:firstLineChars="0"/>
      </w:pPr>
      <w:r>
        <w:rPr>
          <w:rFonts w:hint="eastAsia"/>
        </w:rPr>
        <w:t>4</w:t>
      </w:r>
      <w:r>
        <w:t xml:space="preserve">.2.19 </w:t>
      </w:r>
      <w:r>
        <w:rPr>
          <w:rFonts w:hint="eastAsia"/>
        </w:rPr>
        <w:t>研究</w:t>
      </w:r>
      <w:r>
        <w:t>表明</w:t>
      </w:r>
      <w:r>
        <w:rPr>
          <w:rFonts w:hint="eastAsia"/>
        </w:rPr>
        <w:t>：圆形桥墩最大冲刷坑可能出现在桥墩两侧，长条形桥墩轴线与水流方向夹角小于15度时，冲刷坑一般发生在桥墩前部。虽研究表明当桥墩斜交角不小于15度时墩尾共轭冲刷坑与墩前冲刷坑并存，共轭冲刷坑的冲刷深度小于墩前冲刷坑，共轭冲刷坑的深度和体积随水流强度及夹角的增大而增大，但实际桥梁的水流条件非理想状态，根据既有桥梁的检测结果来看，小斜交角的桥墩下游依然可能出现冲刷坑，故要求长条形桥墩的上下游均布设冲刷监测测点。</w:t>
      </w:r>
    </w:p>
    <w:p>
      <w:pPr>
        <w:pStyle w:val="59"/>
        <w:snapToGrid w:val="0"/>
        <w:spacing w:line="360" w:lineRule="auto"/>
        <w:jc w:val="center"/>
      </w:pPr>
      <w:bookmarkStart w:id="117" w:name="_Toc136504932"/>
      <w:bookmarkStart w:id="118" w:name="_Toc130976059"/>
      <w:r>
        <w:rPr>
          <w:rFonts w:hint="eastAsia"/>
        </w:rPr>
        <w:t>4</w:t>
      </w:r>
      <w:r>
        <w:t xml:space="preserve">.3 </w:t>
      </w:r>
      <w:r>
        <w:rPr>
          <w:rFonts w:hint="eastAsia"/>
        </w:rPr>
        <w:t>监测数据的采集、分析、评估和应用</w:t>
      </w:r>
      <w:bookmarkEnd w:id="117"/>
      <w:bookmarkEnd w:id="118"/>
    </w:p>
    <w:p>
      <w:pPr>
        <w:snapToGrid w:val="0"/>
        <w:spacing w:line="360" w:lineRule="auto"/>
        <w:ind w:firstLine="0" w:firstLineChars="0"/>
        <w:jc w:val="left"/>
      </w:pPr>
      <w:r>
        <w:t xml:space="preserve">4.3.2 </w:t>
      </w:r>
      <w:r>
        <w:rPr>
          <w:rFonts w:hint="eastAsia"/>
        </w:rPr>
        <w:t>对时间同步精度要求不高的设备，可支持NTP时钟同步功能以保持与远</w:t>
      </w:r>
      <w:r>
        <w:t xml:space="preserve"> </w:t>
      </w:r>
      <w:r>
        <w:rPr>
          <w:rFonts w:hint="eastAsia"/>
        </w:rPr>
        <w:t>程服务器的时钟同步。如设备之间需要高精度的时钟同步，可采用北斗卫星导航时钟同步技术。</w:t>
      </w:r>
    </w:p>
    <w:p>
      <w:pPr>
        <w:snapToGrid w:val="0"/>
        <w:spacing w:line="360" w:lineRule="auto"/>
        <w:ind w:firstLine="0" w:firstLineChars="0"/>
      </w:pPr>
      <w:r>
        <w:rPr>
          <w:rFonts w:hint="eastAsia"/>
        </w:rPr>
        <w:t>4</w:t>
      </w:r>
      <w:r>
        <w:t>.3.3</w:t>
      </w:r>
      <w:r>
        <w:rPr>
          <w:rFonts w:hint="eastAsia"/>
        </w:rPr>
        <w:t xml:space="preserve"> 《公路桥梁结构监测技术规范》JT/T 1037-2022要求结冰采样频率为25FPS，考虑到结冰监测量属于慢变信号，且目前基于微波扰动等技术的结冰传感器已比较成熟，故采用</w:t>
      </w:r>
      <w:r>
        <w:t>微波技术时，</w:t>
      </w:r>
      <w:r>
        <w:rPr>
          <w:rFonts w:hint="eastAsia"/>
        </w:rPr>
        <w:t>结冰采样频率调整为1/600 Hz。</w:t>
      </w:r>
    </w:p>
    <w:p>
      <w:pPr>
        <w:snapToGrid w:val="0"/>
        <w:spacing w:line="360" w:lineRule="auto"/>
        <w:ind w:firstLine="480"/>
      </w:pPr>
      <w:r>
        <w:rPr>
          <w:rFonts w:hint="eastAsia"/>
        </w:rPr>
        <w:t>JT/T 1037-2022要求转角采样频率为1Hz，考虑到监测需求的不同，故将转角监测细化为静态采样和动态采样。</w:t>
      </w:r>
    </w:p>
    <w:p>
      <w:pPr>
        <w:snapToGrid w:val="0"/>
        <w:spacing w:line="360" w:lineRule="auto"/>
        <w:ind w:firstLine="0" w:firstLineChars="0"/>
      </w:pPr>
      <w:r>
        <w:rPr>
          <w:rFonts w:hint="eastAsia"/>
        </w:rPr>
        <w:t>4.3.4 由于环境因素影响以及硬件设备自身稳定性的原因，监测系统采集的监测数据时常会出现错误，这些错误数据将严重影响监测数据分析结果的准确性，因此，在数据分析应用前，需进行数据预处理，包括异常数据识别、错误数据剔除等。</w:t>
      </w:r>
    </w:p>
    <w:p>
      <w:pPr>
        <w:snapToGrid w:val="0"/>
        <w:spacing w:line="360" w:lineRule="auto"/>
        <w:ind w:firstLine="0" w:firstLineChars="0"/>
      </w:pPr>
      <w:r>
        <w:rPr>
          <w:rFonts w:hint="eastAsia"/>
        </w:rPr>
        <w:t>4.3.5 报警是桥梁结构监测系统的重要功能之一。当桥梁环境、运营状态异常导致监测数据出现异常时，监测系统及时给出警示，提醒桥梁管理部门。当桥梁遭受地震、洪水、台风、船撞等突发事件后，监测系统可以回溯桥梁突发事件的全过程，通过对数据的分析，获得桥梁遭遇特殊事件后的状态，为桥梁管理部门制定突发事件后的应急管理方案提供技术支持。在桥梁运营过程中，监测系统积累了大量桥梁日常运营状态的监测数据，通过数据分析定期掌握桥梁运营状态，为桥梁日常管理决策提供依据。</w:t>
      </w:r>
    </w:p>
    <w:p>
      <w:pPr>
        <w:snapToGrid w:val="0"/>
        <w:spacing w:line="360" w:lineRule="auto"/>
        <w:ind w:firstLine="0" w:firstLineChars="0"/>
      </w:pPr>
      <w:r>
        <w:rPr>
          <w:rFonts w:hint="eastAsia"/>
        </w:rPr>
        <w:t>4.3.11 涡激振动是一种具有强迫和自激双重特性的风致振动线形，通常在低风速下发生，且结构振幅幅度比较大。在进行涡激振动分析时，宜分析涡激振动的持续时间、风况条件、结构响应与风速风向的相关关系。</w:t>
      </w:r>
    </w:p>
    <w:p>
      <w:pPr>
        <w:snapToGrid w:val="0"/>
        <w:spacing w:line="360" w:lineRule="auto"/>
        <w:ind w:firstLine="0" w:firstLineChars="0"/>
        <w:jc w:val="left"/>
      </w:pPr>
      <w:r>
        <w:rPr>
          <w:rFonts w:hint="eastAsia"/>
        </w:rPr>
        <w:t>4.3.15振动能量比因子</w:t>
      </w:r>
      <w:r>
        <w:t>计算方法</w:t>
      </w:r>
      <w:r>
        <w:rPr>
          <w:rFonts w:hint="eastAsia"/>
        </w:rPr>
        <w:t>见4.3.</w:t>
      </w:r>
      <w:r>
        <w:t>38</w:t>
      </w:r>
      <w:r>
        <w:rPr>
          <w:rFonts w:hint="eastAsia"/>
        </w:rPr>
        <w:t>。</w:t>
      </w:r>
    </w:p>
    <w:p>
      <w:pPr>
        <w:snapToGrid w:val="0"/>
        <w:spacing w:line="360" w:lineRule="auto"/>
        <w:ind w:firstLine="0" w:firstLineChars="0"/>
      </w:pPr>
      <w:r>
        <w:rPr>
          <w:rFonts w:hint="eastAsia"/>
        </w:rPr>
        <w:t>4.3.25</w:t>
      </w:r>
      <w:r>
        <w:t xml:space="preserve"> </w:t>
      </w:r>
      <w:r>
        <w:rPr>
          <w:rFonts w:hint="eastAsia"/>
        </w:rPr>
        <w:t>“超限阈值”一列中的“设计值”参考了《公路桥涵设计通用规范》JTG D60、《公路钢筋混凝土及预应力混凝土桥涵设计规范》JTG 3362、《公路悬索桥设计规范》JTG/T D65—05、《公路斜拉桥设计规范》JTG/T 3365—01、《公路钢管混凝土拱桥设计规范》JTG/T D65—06、《公路桥梁抗风设计规范》JTG/T 3360—01的相关规定。锚碇位移限值参考了《公路悬索桥设计规范》JTG/T D65—05的相关规定。裂缝限值参考《公路桥涵养护规范》JTG 5120—2021、《公路桥梁技术状况评定标准》JTG/T H21的相关规定。</w:t>
      </w:r>
    </w:p>
    <w:p>
      <w:pPr>
        <w:snapToGrid w:val="0"/>
        <w:spacing w:line="360" w:lineRule="auto"/>
        <w:ind w:firstLine="0" w:firstLineChars="0"/>
      </w:pPr>
      <w:r>
        <w:tab/>
      </w:r>
      <w:r>
        <w:rPr>
          <w:rFonts w:hint="eastAsia"/>
        </w:rPr>
        <w:t>构件封闭空间为主梁内，悬索桥主缆、锚室和鞍罩内，斜拉桥索塔和索塔锚固区内，拱桥主拱内封闭空间。</w:t>
      </w:r>
    </w:p>
    <w:p>
      <w:pPr>
        <w:snapToGrid w:val="0"/>
        <w:spacing w:line="360" w:lineRule="auto"/>
        <w:ind w:firstLine="0" w:firstLineChars="0"/>
      </w:pPr>
      <w:r>
        <w:tab/>
      </w:r>
      <w:r>
        <w:rPr>
          <w:rFonts w:hint="eastAsia"/>
        </w:rPr>
        <w:t>桥梁涡振报警选取主梁竖向加速度均方根值和能量比因子作为报警指标，阈值取值的原则依据已有桥梁发生涡振的加速度均方根值统计规律以及ISO 2631-1舒适性标准制定。超限一级、二级和三级阈值分别取为31.5 cm/s2、50 cm/s2和80 cm/s2分别对应ISO 2631-1中的“稍有不舒适”、“比较不舒适”和“不舒适”的下限。</w:t>
      </w:r>
    </w:p>
    <w:p>
      <w:pPr>
        <w:snapToGrid w:val="0"/>
        <w:spacing w:line="360" w:lineRule="auto"/>
        <w:ind w:firstLine="0" w:firstLineChars="0"/>
      </w:pPr>
      <w:r>
        <w:tab/>
      </w:r>
      <w:r>
        <w:rPr>
          <w:rFonts w:hint="eastAsia"/>
        </w:rPr>
        <w:t>受力复杂部位的应力（变）阈值</w:t>
      </w:r>
      <w:r>
        <w:t>采用</w:t>
      </w:r>
      <w:r>
        <w:rPr>
          <w:rFonts w:hint="eastAsia"/>
        </w:rPr>
        <w:t>理论值时</w:t>
      </w:r>
      <w:r>
        <w:t>，</w:t>
      </w:r>
      <w:r>
        <w:rPr>
          <w:rFonts w:hint="eastAsia"/>
        </w:rPr>
        <w:t>应以局部细化实体单元模型为基础，分析局部效应。</w:t>
      </w:r>
    </w:p>
    <w:p>
      <w:pPr>
        <w:snapToGrid w:val="0"/>
        <w:spacing w:line="360" w:lineRule="auto"/>
        <w:ind w:firstLine="0" w:firstLineChars="0"/>
      </w:pPr>
      <w:r>
        <w:tab/>
      </w:r>
      <w:r>
        <w:rPr>
          <w:rFonts w:hint="eastAsia"/>
        </w:rPr>
        <w:t>数据分析结果超限报警为非同步报警项。</w:t>
      </w:r>
      <w:r>
        <w:t xml:space="preserve"> </w:t>
      </w:r>
    </w:p>
    <w:p>
      <w:pPr>
        <w:snapToGrid w:val="0"/>
        <w:spacing w:line="360" w:lineRule="auto"/>
        <w:ind w:firstLine="0" w:firstLineChars="0"/>
      </w:pPr>
      <w:r>
        <w:rPr>
          <w:rFonts w:hint="eastAsia"/>
        </w:rPr>
        <w:t>4</w:t>
      </w:r>
      <w:r>
        <w:t>.3.34</w:t>
      </w:r>
      <w:r>
        <w:rPr>
          <w:rFonts w:hint="eastAsia"/>
        </w:rPr>
        <w:t>对于</w:t>
      </w:r>
      <w:r>
        <w:t>缆索结构体系桥梁，</w:t>
      </w:r>
      <w:r>
        <w:rPr>
          <w:rFonts w:hint="eastAsia"/>
        </w:rPr>
        <w:t>《公路桥梁</w:t>
      </w:r>
      <w:r>
        <w:t>技术状况评定标准</w:t>
      </w:r>
      <w:r>
        <w:rPr>
          <w:rFonts w:hint="eastAsia"/>
        </w:rPr>
        <w:t>》JTG/T H21较《城市桥梁</w:t>
      </w:r>
      <w:r>
        <w:t>养护技术标准</w:t>
      </w:r>
      <w:r>
        <w:rPr>
          <w:rFonts w:hint="eastAsia"/>
        </w:rPr>
        <w:t>》CJJ99的</w:t>
      </w:r>
      <w:r>
        <w:t>规定更为详细和具体，</w:t>
      </w:r>
      <w:r>
        <w:rPr>
          <w:rFonts w:hint="eastAsia"/>
        </w:rPr>
        <w:t>应用性</w:t>
      </w:r>
      <w:r>
        <w:t>更强，故缆索结构体系桥梁</w:t>
      </w:r>
      <w:r>
        <w:rPr>
          <w:rFonts w:hint="eastAsia"/>
        </w:rPr>
        <w:t>宜</w:t>
      </w:r>
      <w:r>
        <w:t>符合</w:t>
      </w:r>
      <w:r>
        <w:rPr>
          <w:rFonts w:hint="eastAsia"/>
        </w:rPr>
        <w:t>JTG/T H21的</w:t>
      </w:r>
      <w:r>
        <w:t>规定。</w:t>
      </w:r>
    </w:p>
    <w:p>
      <w:pPr>
        <w:pStyle w:val="59"/>
        <w:jc w:val="center"/>
      </w:pPr>
      <w:bookmarkStart w:id="119" w:name="_Toc136504933"/>
      <w:r>
        <w:rPr>
          <w:rFonts w:hint="eastAsia"/>
        </w:rPr>
        <w:t>4.</w:t>
      </w:r>
      <w:r>
        <w:t>4</w:t>
      </w:r>
      <w:r>
        <w:rPr>
          <w:rFonts w:hint="eastAsia"/>
        </w:rPr>
        <w:t xml:space="preserve"> 硬件系统设计</w:t>
      </w:r>
      <w:bookmarkEnd w:id="119"/>
    </w:p>
    <w:p>
      <w:pPr>
        <w:snapToGrid w:val="0"/>
        <w:spacing w:line="360" w:lineRule="auto"/>
        <w:ind w:firstLine="0" w:firstLineChars="0"/>
      </w:pPr>
      <w:r>
        <w:rPr>
          <w:rFonts w:hint="eastAsia"/>
        </w:rPr>
        <w:t>4</w:t>
      </w:r>
      <w:r>
        <w:t xml:space="preserve">.4.15  </w:t>
      </w:r>
      <w:r>
        <w:rPr>
          <w:rFonts w:hint="eastAsia"/>
        </w:rPr>
        <w:t>RS</w:t>
      </w:r>
      <w:r>
        <w:t>485</w:t>
      </w:r>
      <w:r>
        <w:rPr>
          <w:rFonts w:hint="eastAsia"/>
        </w:rPr>
        <w:t>通讯线缆的分支节点过长将会引起信号反射，影响通讯质量，</w:t>
      </w:r>
      <w:r>
        <w:t>故</w:t>
      </w:r>
      <w:r>
        <w:rPr>
          <w:rFonts w:hint="eastAsia"/>
        </w:rPr>
        <w:t>要求分支节点布线长度一般不大于2m。</w:t>
      </w:r>
    </w:p>
    <w:p>
      <w:pPr>
        <w:snapToGrid w:val="0"/>
        <w:spacing w:line="360" w:lineRule="auto"/>
        <w:ind w:firstLine="480"/>
      </w:pPr>
      <w:r>
        <w:rPr>
          <w:rFonts w:hint="eastAsia"/>
        </w:rPr>
        <w:t>由于光纤属于易损类通讯线缆，在布设过程中不能直角弯折。</w:t>
      </w:r>
    </w:p>
    <w:p>
      <w:pPr>
        <w:pStyle w:val="59"/>
        <w:snapToGrid w:val="0"/>
        <w:spacing w:line="360" w:lineRule="auto"/>
        <w:jc w:val="center"/>
      </w:pPr>
      <w:bookmarkStart w:id="120" w:name="_Toc136504934"/>
      <w:r>
        <w:rPr>
          <w:rFonts w:hint="eastAsia"/>
        </w:rPr>
        <w:t>4.5 软件系统设计</w:t>
      </w:r>
      <w:bookmarkEnd w:id="120"/>
    </w:p>
    <w:p>
      <w:pPr>
        <w:snapToGrid w:val="0"/>
        <w:spacing w:line="360" w:lineRule="auto"/>
        <w:ind w:firstLine="0" w:firstLineChars="0"/>
      </w:pPr>
      <w:r>
        <w:rPr>
          <w:rFonts w:hint="eastAsia"/>
        </w:rPr>
        <w:t>4.5.2 软件系统根据省部级监测平台预留数据接口，参照省部级监测平台通讯协议，接口规范设计软件系统数据接口以及数据共享服务。</w:t>
      </w:r>
    </w:p>
    <w:p>
      <w:pPr>
        <w:snapToGrid w:val="0"/>
        <w:spacing w:line="360" w:lineRule="auto"/>
        <w:ind w:firstLine="0" w:firstLineChars="0"/>
      </w:pPr>
      <w:r>
        <w:rPr>
          <w:rFonts w:hint="eastAsia"/>
        </w:rPr>
        <w:t>4.5.3 软件系统对标省级监测平台信息安全等级构建信息安全防护体系。</w:t>
      </w:r>
    </w:p>
    <w:p>
      <w:pPr>
        <w:snapToGrid w:val="0"/>
        <w:spacing w:line="360" w:lineRule="auto"/>
        <w:ind w:firstLine="0" w:firstLineChars="0"/>
      </w:pPr>
      <w:r>
        <w:rPr>
          <w:rFonts w:hint="eastAsia"/>
        </w:rPr>
        <w:t>4</w:t>
      </w:r>
      <w:r>
        <w:t>.</w:t>
      </w:r>
      <w:r>
        <w:rPr>
          <w:rFonts w:hint="eastAsia"/>
        </w:rPr>
        <w:t>5</w:t>
      </w:r>
      <w:r>
        <w:t>.</w:t>
      </w:r>
      <w:r>
        <w:rPr>
          <w:rFonts w:hint="eastAsia"/>
        </w:rPr>
        <w:t>4软件系统包括的系统管理功能模块、数据采集与传输功能模块、数据处理与管理功能模块、数据分析与安全预警及评估功能模块需要通过系统集成技术将各功能模块集成为统一协调的整体软件系统；数据采集与传输功能模块应实现传感器数据同步采集与传输，保证数据质量、不失真；监测系统软件应能够接收并解析桥梁现场发送的各类监测数据，并具备数据预处理、二次处理、特征值提取以及数据持久化存储功能。数据分析应基于监测数据，提供各类数据分析方法。</w:t>
      </w:r>
    </w:p>
    <w:p>
      <w:pPr>
        <w:snapToGrid w:val="0"/>
        <w:spacing w:line="360" w:lineRule="auto"/>
        <w:ind w:firstLine="0" w:firstLineChars="0"/>
      </w:pPr>
      <w:r>
        <w:rPr>
          <w:rFonts w:hint="eastAsia"/>
        </w:rPr>
        <w:t>4.5.6 用户界面布局合理、层次清晰、标示清楚、意义明确、简洁美观，充分满足监测业务实际需要，整个监测软件系统用户界面风格，字体，颜色统一，可视化驾驶舱满足一体化监测需求，能够实现一屏控全局。</w:t>
      </w:r>
    </w:p>
    <w:p>
      <w:pPr>
        <w:snapToGrid w:val="0"/>
        <w:spacing w:line="360" w:lineRule="auto"/>
        <w:ind w:firstLine="0" w:firstLineChars="0"/>
        <w:rPr>
          <w:sz w:val="22"/>
          <w:lang w:bidi="mn-Mong-CN"/>
        </w:rPr>
      </w:pPr>
    </w:p>
    <w:p>
      <w:pPr>
        <w:pStyle w:val="59"/>
        <w:snapToGrid w:val="0"/>
        <w:spacing w:line="360" w:lineRule="auto"/>
        <w:jc w:val="center"/>
      </w:pPr>
      <w:bookmarkStart w:id="121" w:name="_Toc130976060"/>
      <w:bookmarkStart w:id="122" w:name="_Toc136504935"/>
      <w:r>
        <w:rPr>
          <w:rFonts w:hint="eastAsia"/>
        </w:rPr>
        <w:t xml:space="preserve">4.6 </w:t>
      </w:r>
      <w:bookmarkEnd w:id="121"/>
      <w:r>
        <w:rPr>
          <w:rFonts w:hint="eastAsia"/>
        </w:rPr>
        <w:t>专线监测设计</w:t>
      </w:r>
      <w:bookmarkEnd w:id="122"/>
    </w:p>
    <w:p>
      <w:pPr>
        <w:snapToGrid w:val="0"/>
        <w:spacing w:line="360" w:lineRule="auto"/>
        <w:ind w:firstLine="0" w:firstLineChars="0"/>
      </w:pPr>
      <w:r>
        <w:rPr>
          <w:rFonts w:hint="eastAsia"/>
        </w:rPr>
        <w:t>4</w:t>
      </w:r>
      <w:r>
        <w:t>.6.1专线监测系统具有造价高昂的特性，需要在监测项目与终端控制室之间建立专用局域网线路或使用其它专用网络，不直接接入互联网，主要为数据的稳定性或保密性而设置，所以常规的、非涉及重要保护范围的项目一般不</w:t>
      </w:r>
      <w:r>
        <w:rPr>
          <w:rFonts w:hint="eastAsia"/>
        </w:rPr>
        <w:t>宜</w:t>
      </w:r>
      <w:r>
        <w:t>采用，</w:t>
      </w:r>
      <w:r>
        <w:rPr>
          <w:rFonts w:hint="eastAsia"/>
        </w:rPr>
        <w:t>采用该类监测设计的项目，应在设计时综合考虑附近类似项目的存在，寻求共用监测专线网络的可能性。</w:t>
      </w:r>
    </w:p>
    <w:p>
      <w:pPr>
        <w:snapToGrid w:val="0"/>
        <w:spacing w:line="360" w:lineRule="auto"/>
        <w:ind w:firstLine="0" w:firstLineChars="0"/>
      </w:pPr>
      <w:r>
        <w:rPr>
          <w:rFonts w:hint="eastAsia"/>
        </w:rPr>
        <w:t>4</w:t>
      </w:r>
      <w:r>
        <w:t>.6.3通过对当前结构监测技术研究现状和市场需求的总结，智能化监测系统是结构健康监测和评价追求的目标，但根据现有监测技术的跟踪调查及研究，目前所能具备的技术能力和硬件设施</w:t>
      </w:r>
      <w:r>
        <w:rPr>
          <w:rFonts w:hint="eastAsia"/>
        </w:rPr>
        <w:t>，智慧化尚无法得到系统性的集成实现，但考虑科技的加速发展和突变的可能性</w:t>
      </w:r>
      <w:r>
        <w:t>，本次规范编写时增加了智能化监测系统的概念，为具有条件做相关技术研究的单位提供方向性参考；数字化监测系统建设中监测数据与力学模型的融合过程尚无可靠有效的数据自动衔接及分析手段，目前尚需技术人员对监测数据做深入处理，选取“具有代表性”的数据人工输入商业桥梁结构计算软件做计算分析，根据分析结果结合现场及工程经验进行结构损伤识别和结构承载力评定，目前急需解决的问题是如何寻找可靠的技术手段在海量的监测数据中识别有用数据，再将数据与结构计算模型自动衔接计算，并提取出可用的计算结果信息，可更深一步的工作是根据计算结果自动修正结构计算模型。故在实际监测系统建设中，健康监测系统实现的功能不应低于信息化监测系统要求，宜达到数字化监测系统要求，除特殊监测及研究项目经专家论证确能实现智能化监测目标或确定作为研究性的项目外，一般不</w:t>
      </w:r>
      <w:r>
        <w:rPr>
          <w:rFonts w:hint="eastAsia"/>
        </w:rPr>
        <w:t>宜</w:t>
      </w:r>
      <w:r>
        <w:t>进行智能化监测系统建设。</w:t>
      </w:r>
    </w:p>
    <w:p>
      <w:pPr>
        <w:snapToGrid w:val="0"/>
        <w:spacing w:line="360" w:lineRule="auto"/>
        <w:ind w:firstLine="0" w:firstLineChars="0"/>
      </w:pPr>
      <w:r>
        <w:rPr>
          <w:rFonts w:hint="eastAsia"/>
        </w:rPr>
        <w:t>4</w:t>
      </w:r>
      <w:r>
        <w:t>.6.6根据目前业内对多个实际实施项目情况总结，要求埋入式监测设备的使用寿命应不低于</w:t>
      </w:r>
      <w:r>
        <w:rPr>
          <w:rFonts w:hint="eastAsia"/>
        </w:rPr>
        <w:t>20年，但实际情况完全实现不了，以埋入后成活的传感器数量进行统计，时间超过5年，存活率能达到百分之三十就是很不错的项目，因传感器已埋入，难以进行更换，达不到数据的连续性要求；且传感器埋入工作与桥梁施工同步进行，导致传感器和外接线路难以保护，造成的传感器损坏和断线无法维修等情况，故不宜采用埋入式传感器。而附着式传感器目前市场上宣传的寿命在5～8年，有甚者宣称能达到20年，但从实际应用结果分析，使用知名厂商生产的传感器，在维护得当的情况下，达到5年使用时间，存活率不低于8</w:t>
      </w:r>
      <w:r>
        <w:t>0</w:t>
      </w:r>
      <w:r>
        <w:rPr>
          <w:rFonts w:hint="eastAsia"/>
        </w:rPr>
        <w:t>%是可以满足的，且附着式传感器易于更换，结合软件修正功能，保证数据的连续性和完成寿命周期的监测工作是能够实现的。</w:t>
      </w:r>
    </w:p>
    <w:p>
      <w:pPr>
        <w:snapToGrid w:val="0"/>
        <w:spacing w:line="360" w:lineRule="auto"/>
        <w:ind w:firstLine="0" w:firstLineChars="0"/>
      </w:pPr>
      <w:r>
        <w:rPr>
          <w:rFonts w:hint="eastAsia"/>
        </w:rPr>
        <w:t>4</w:t>
      </w:r>
      <w:r>
        <w:t>.6.7无线传输依赖于信号的强弱和稳定性，在信号较弱或不稳定的情况下将会导致数据在传输过程中丢失或重复传输的情况，桥梁现场环境复杂，信号受物体遮挡是难以避免的，且无线传输的数据保密性较差，结合专线监测系统的特点，不</w:t>
      </w:r>
      <w:r>
        <w:rPr>
          <w:rFonts w:hint="eastAsia"/>
        </w:rPr>
        <w:t>宜</w:t>
      </w:r>
      <w:r>
        <w:t>采用无线传输方式。当确实需要无线传输时，可通过在数据管理系统中设置数据丢包检测和丢失数据恢复算法等手段确保得到数据的完整性，或通过在采集仪中集成原始数据的定期存储功能，便于在丢失数据难以靠算法恢复的情况下实现人工数据恢复。</w:t>
      </w:r>
    </w:p>
    <w:p>
      <w:pPr>
        <w:snapToGrid w:val="0"/>
        <w:spacing w:line="360" w:lineRule="auto"/>
        <w:ind w:firstLine="0" w:firstLineChars="0"/>
      </w:pPr>
      <w:r>
        <w:rPr>
          <w:rFonts w:hint="eastAsia"/>
        </w:rPr>
        <w:t>4</w:t>
      </w:r>
      <w:r>
        <w:t>.6.8一般桥梁设计采用的结构计算模型为二维杆单元模型，若以该类模型作为承接监测数据的输入计算，仅能考虑桥跨的某个位置变化对桥整体的影响，忽略了桥梁横向空间分布特征的影响。而实际桥梁为空间结构体，外界作用并不是总位于桥梁纵向中轴线上，若要准确分析布设于桥梁各空间点上传感器监测到的响应结果与桥梁变化情况的对应关系，空间实体有限元模型是技术实现的最优选择，宜优先选用；模型修正既指根据桥梁实际情况改变结构的荷载作用、边界条件和材料强度变化等模型更改</w:t>
      </w:r>
      <w:r>
        <w:rPr>
          <w:rFonts w:hint="eastAsia"/>
        </w:rPr>
        <w:t>修正</w:t>
      </w:r>
      <w:r>
        <w:t>，亦指基于模态参数灵敏度分析的模型修正方法（具体方法可参考李惠等著的《结构健康监测数据科学与工程》等）。</w:t>
      </w:r>
    </w:p>
    <w:p>
      <w:pPr>
        <w:pStyle w:val="59"/>
        <w:snapToGrid w:val="0"/>
        <w:spacing w:line="360" w:lineRule="auto"/>
        <w:jc w:val="center"/>
      </w:pPr>
      <w:bookmarkStart w:id="123" w:name="_Toc130976061"/>
      <w:bookmarkStart w:id="124" w:name="_Toc136504936"/>
      <w:r>
        <w:rPr>
          <w:rFonts w:hint="eastAsia"/>
        </w:rPr>
        <w:t>4.7 施工期监测及其他数据源的纳入方案</w:t>
      </w:r>
      <w:bookmarkEnd w:id="123"/>
      <w:bookmarkEnd w:id="124"/>
    </w:p>
    <w:p>
      <w:pPr>
        <w:snapToGrid w:val="0"/>
        <w:spacing w:line="360" w:lineRule="auto"/>
        <w:ind w:firstLine="0" w:firstLineChars="0"/>
      </w:pPr>
      <w:r>
        <w:rPr>
          <w:rFonts w:hint="eastAsia"/>
        </w:rPr>
        <w:t>4</w:t>
      </w:r>
      <w:r>
        <w:t>.7.2根据目前业内得出的结构健康监测的基本公理可知，损伤评估需对两个系统状态进行对比，故桥梁施工过程及成桥状态的结构数据作为描述结构损伤模型的初始数据，对结构承载力评定和损伤演化评估具有重要意义。同时考虑存在已运营桥梁加装监测系统的可能，提出了运营桥梁系统设计在监测数据管理模块中增加数据人为输入的功能。</w:t>
      </w:r>
    </w:p>
    <w:p>
      <w:pPr>
        <w:snapToGrid w:val="0"/>
        <w:spacing w:line="360" w:lineRule="auto"/>
        <w:ind w:firstLine="0" w:firstLineChars="0"/>
      </w:pPr>
      <w:r>
        <w:rPr>
          <w:rFonts w:hint="eastAsia"/>
        </w:rPr>
        <w:t>4</w:t>
      </w:r>
      <w:r>
        <w:t>.7.3因增加传感器影响到已获得数据连续性的问题在施工位移或变形参数监测中表现得较为明显，比较常见的固定式位移或变形监测设备有静力水准仪和视觉位移监测设备两种，静力水准仪属于利用压差变化原理测量变形的设备，在进行测点（静力水准仪）增加施工时会对压差构成影响，难以保证已安装测点数据的连续性；而视觉位移监测设备属于非接触式变形测量设备，主要利用高分辨率图像采集和识别原理，对标记测点（特征点或靶标）位置在图像中的相对变化进行识别计算出目标点的位移和变形，该类仪器具有既有测点数据不受视场和视距内测点数量变化影响的特性，且具有可同时识别测点空间位置变化的</w:t>
      </w:r>
      <w:r>
        <w:rPr>
          <w:rFonts w:hint="eastAsia"/>
        </w:rPr>
        <w:t>优</w:t>
      </w:r>
      <w:r>
        <w:t>点，故</w:t>
      </w:r>
      <w:r>
        <w:rPr>
          <w:rFonts w:hint="eastAsia"/>
        </w:rPr>
        <w:t>应</w:t>
      </w:r>
      <w:r>
        <w:t>优先选用该类原理的传感器。</w:t>
      </w:r>
    </w:p>
    <w:p>
      <w:pPr>
        <w:snapToGrid w:val="0"/>
        <w:spacing w:line="360" w:lineRule="auto"/>
        <w:ind w:firstLine="0" w:firstLineChars="0"/>
      </w:pPr>
      <w:r>
        <w:rPr>
          <w:rFonts w:hint="eastAsia"/>
        </w:rPr>
        <w:t>4</w:t>
      </w:r>
      <w:r>
        <w:t>.7.4根据既有桥梁监测系统的施工阶段监测建设经验，施工阶段环境复杂，施工人员因不慎或故意损坏监测系统的情况频发，加之施工过程中难以做到系统供电设施和线路排布与成桥后的情况一致，基本采用临时供电及布线等，待结构施工完成后再统一规整线路和接入市政供电的建设方案增加了系统的保护难度。故事先设计系统配件的保护措施，对预防系统配件的人为损坏效果明显，拟定布线方案则有利于系统改动及沿用。</w:t>
      </w:r>
    </w:p>
    <w:p>
      <w:pPr>
        <w:pStyle w:val="59"/>
        <w:snapToGrid w:val="0"/>
        <w:spacing w:line="360" w:lineRule="auto"/>
        <w:jc w:val="center"/>
      </w:pPr>
      <w:bookmarkStart w:id="125" w:name="_Toc136504937"/>
      <w:bookmarkStart w:id="126" w:name="_Toc130976062"/>
      <w:r>
        <w:rPr>
          <w:rFonts w:hint="eastAsia"/>
        </w:rPr>
        <w:t>4.8 系统的物联网接入方案</w:t>
      </w:r>
      <w:bookmarkEnd w:id="125"/>
      <w:bookmarkEnd w:id="126"/>
    </w:p>
    <w:p>
      <w:pPr>
        <w:snapToGrid w:val="0"/>
        <w:spacing w:line="360" w:lineRule="auto"/>
        <w:ind w:firstLine="0" w:firstLineChars="0"/>
      </w:pPr>
      <w:r>
        <w:rPr>
          <w:rFonts w:hint="eastAsia"/>
        </w:rPr>
        <w:t>4</w:t>
      </w:r>
      <w:r>
        <w:t>.8.1智慧城市建设是未来城市管理运营的建设目标，而城市信息系统是实现智慧城市的前期建设探索，物联网技术是实现智慧城市的前提，故数据交互和接口规则对后期建设和数据利用具有重要意义，秉持充分利用既有资源，避免重复建设的设计理念，提出在监测系统设计时宜优先考虑与城市信息系统的融合，继而作为监测系统的物联网接入方案的基础。</w:t>
      </w:r>
    </w:p>
    <w:p>
      <w:pPr>
        <w:snapToGrid w:val="0"/>
        <w:spacing w:line="360" w:lineRule="auto"/>
        <w:ind w:firstLine="0" w:firstLineChars="0"/>
      </w:pPr>
      <w:r>
        <w:rPr>
          <w:rFonts w:hint="eastAsia"/>
        </w:rPr>
        <w:t>4</w:t>
      </w:r>
      <w:r>
        <w:t>.8.2对于桥梁结构健康监测而言物联网就是通过智能感知、识别、自动化控制技术和互联网等网络技术把传感器、硬件设备、人员等通过全新的方式联系在一起，形成人与结构、结构与结构相连，构成信息化、远程管理控制、智能化的网络。因此物联网是各类技术的综合应用体，具有较为宽泛的概念，主要功能是实现不同个体信息来源的综合分析应用；而监测系统处于物联网末端是信息的感知单元，其具有专业性强的特点。故物联网接入应是一个自下往上的信息传递过程，而不是自上而下的修正过程，不能以结构监测系统类比做人的神经系统对创伤感知过程来比喻物联网，物联网更应该用领导核心对人的治理行为做类比。</w:t>
      </w:r>
    </w:p>
    <w:p>
      <w:pPr>
        <w:snapToGrid w:val="0"/>
        <w:spacing w:line="360" w:lineRule="auto"/>
        <w:ind w:firstLine="0" w:firstLineChars="0"/>
      </w:pPr>
      <w:r>
        <w:rPr>
          <w:rFonts w:hint="eastAsia"/>
        </w:rPr>
        <w:t>4</w:t>
      </w:r>
      <w:r>
        <w:t>.8.3应借助物联网技术充分发挥出监测桥梁结构规模总体庞大的优势，通过分布式技术的优势为城市桥梁运营管理决策控制服务，若过于强调单体结构信息的完整性，存在信息被不法人员利用的可能，有可能助长暴恐事件的破坏范围，因此接入方案制定时宜充分对专业信息交互的安全性做出研判。</w:t>
      </w:r>
    </w:p>
    <w:p>
      <w:pPr>
        <w:snapToGrid w:val="0"/>
        <w:spacing w:line="360" w:lineRule="auto"/>
        <w:ind w:firstLine="0" w:firstLineChars="0"/>
      </w:pPr>
      <w:r>
        <w:rPr>
          <w:rFonts w:hint="eastAsia"/>
        </w:rPr>
        <w:t>4</w:t>
      </w:r>
      <w:r>
        <w:t>.8.4各类物体信息感知系统建设具有先后时间顺序是客观存在的事实，不可能同一时间或较短时间内全面建设完成，物联网的实现是一个网络拓扑的过程，难以做到统一规划和统一建设，故采用</w:t>
      </w:r>
      <w:r>
        <w:rPr>
          <w:rFonts w:hint="eastAsia"/>
        </w:rPr>
        <w:t>区域结构群网络分散建立数据库，再通过城际网络连接各分散数据库实现数据共享的方案是切实可行的，有利于促进物联网的实现。</w:t>
      </w:r>
    </w:p>
    <w:p>
      <w:pPr>
        <w:snapToGrid w:val="0"/>
        <w:spacing w:line="360" w:lineRule="auto"/>
        <w:ind w:firstLine="0" w:firstLineChars="0"/>
      </w:pPr>
      <w:r>
        <w:rPr>
          <w:rFonts w:hint="eastAsia"/>
        </w:rPr>
        <w:t>4</w:t>
      </w:r>
      <w:r>
        <w:t>.8.5物联网建设目的是实现超个体或区域信息的交互共享，达到信息价值的最大化应用，即万事万物皆是信息提供者亦是信息的受益者，说明物联网中信息的传递并不是单向传导过程，而是双向反馈应用过程，故在拟将桥梁健康监测信息共享时便应完善对反馈信息的挖掘应用技术保障措施。</w:t>
      </w:r>
    </w:p>
    <w:p>
      <w:pPr>
        <w:widowControl/>
        <w:spacing w:line="240" w:lineRule="auto"/>
        <w:ind w:firstLine="0" w:firstLineChars="0"/>
        <w:jc w:val="left"/>
        <w:rPr>
          <w:rFonts w:hint="eastAsia"/>
          <w:b/>
          <w:bCs/>
          <w:sz w:val="32"/>
          <w:szCs w:val="32"/>
        </w:rPr>
      </w:pPr>
      <w:r>
        <w:br w:type="page"/>
      </w:r>
    </w:p>
    <w:p>
      <w:pPr>
        <w:pStyle w:val="58"/>
      </w:pPr>
      <w:bookmarkStart w:id="127" w:name="_Toc136504938"/>
      <w:bookmarkStart w:id="128" w:name="_Toc15445"/>
      <w:r>
        <w:rPr>
          <w:rFonts w:hint="eastAsia"/>
        </w:rPr>
        <w:t>5系统实施</w:t>
      </w:r>
      <w:bookmarkEnd w:id="127"/>
      <w:bookmarkEnd w:id="128"/>
    </w:p>
    <w:p>
      <w:pPr>
        <w:pStyle w:val="59"/>
        <w:jc w:val="center"/>
      </w:pPr>
      <w:bookmarkStart w:id="129" w:name="_Toc14289"/>
      <w:bookmarkStart w:id="130" w:name="_Toc136504939"/>
      <w:r>
        <w:rPr>
          <w:rFonts w:hint="eastAsia"/>
        </w:rPr>
        <w:t>5.1一般规定</w:t>
      </w:r>
      <w:bookmarkEnd w:id="129"/>
      <w:bookmarkEnd w:id="130"/>
    </w:p>
    <w:p>
      <w:pPr>
        <w:ind w:firstLine="0" w:firstLineChars="0"/>
      </w:pPr>
      <w:r>
        <w:rPr>
          <w:rFonts w:hint="eastAsia"/>
        </w:rPr>
        <w:t>5.1.3城市桥梁结构安全监测系统单位工程、分部工程、分项工程划分办法如下，</w:t>
      </w:r>
    </w:p>
    <w:p>
      <w:pPr>
        <w:ind w:firstLine="0" w:firstLineChars="0"/>
      </w:pPr>
      <w:r>
        <w:rPr>
          <w:rFonts w:hint="eastAsia"/>
        </w:rPr>
        <w:t>城市桥梁结构安全监测系统工程划分按单体式结构监测及集群化监测两种类型进行划分。</w:t>
      </w:r>
    </w:p>
    <w:p>
      <w:pPr>
        <w:ind w:firstLine="480"/>
      </w:pPr>
      <w:r>
        <w:rPr>
          <w:rFonts w:hint="eastAsia"/>
        </w:rPr>
        <w:t>单体桥梁结构监测：</w:t>
      </w:r>
    </w:p>
    <w:p>
      <w:pPr>
        <w:pStyle w:val="40"/>
        <w:numPr>
          <w:ilvl w:val="0"/>
          <w:numId w:val="46"/>
        </w:numPr>
        <w:tabs>
          <w:tab w:val="left" w:pos="0"/>
        </w:tabs>
        <w:ind w:firstLineChars="0"/>
      </w:pPr>
      <w:r>
        <w:rPr>
          <w:rFonts w:hint="eastAsia"/>
        </w:rPr>
        <w:t>单位工程：每一个单体结构项目的实施为一个单位工程；</w:t>
      </w:r>
    </w:p>
    <w:p>
      <w:pPr>
        <w:pStyle w:val="40"/>
        <w:numPr>
          <w:ilvl w:val="0"/>
          <w:numId w:val="46"/>
        </w:numPr>
        <w:tabs>
          <w:tab w:val="left" w:pos="0"/>
        </w:tabs>
        <w:ind w:firstLineChars="0"/>
      </w:pPr>
      <w:r>
        <w:rPr>
          <w:rFonts w:hint="eastAsia"/>
        </w:rPr>
        <w:t>分部工程：每一个单位工程分为桥梁外场安装、软件系统安装两个分部</w:t>
      </w:r>
    </w:p>
    <w:p>
      <w:pPr>
        <w:tabs>
          <w:tab w:val="left" w:pos="0"/>
        </w:tabs>
        <w:ind w:left="240" w:firstLine="0" w:firstLineChars="0"/>
      </w:pPr>
      <w:r>
        <w:rPr>
          <w:rFonts w:hint="eastAsia"/>
        </w:rPr>
        <w:t>工程；</w:t>
      </w:r>
    </w:p>
    <w:p>
      <w:pPr>
        <w:pStyle w:val="40"/>
        <w:numPr>
          <w:ilvl w:val="0"/>
          <w:numId w:val="46"/>
        </w:numPr>
        <w:tabs>
          <w:tab w:val="left" w:pos="0"/>
        </w:tabs>
        <w:ind w:firstLineChars="0"/>
      </w:pPr>
      <w:r>
        <w:rPr>
          <w:rFonts w:hint="eastAsia"/>
        </w:rPr>
        <w:t>分项工程：桥梁外场安装分项按传感器安装、控制箱机柜安装、线缆安</w:t>
      </w:r>
    </w:p>
    <w:p>
      <w:pPr>
        <w:tabs>
          <w:tab w:val="left" w:pos="0"/>
        </w:tabs>
        <w:ind w:left="240" w:firstLine="0" w:firstLineChars="0"/>
      </w:pPr>
      <w:r>
        <w:rPr>
          <w:rFonts w:hint="eastAsia"/>
        </w:rPr>
        <w:t>装、桥架与线管安装、水管水路安装、电源与防雷、标签标志等划分；软件系统安装按各功能模块划分分项工程。</w:t>
      </w:r>
    </w:p>
    <w:p>
      <w:pPr>
        <w:ind w:firstLine="480"/>
      </w:pPr>
      <w:r>
        <w:rPr>
          <w:rFonts w:hint="eastAsia"/>
        </w:rPr>
        <w:t>集群化桥梁结构监测：</w:t>
      </w:r>
    </w:p>
    <w:p>
      <w:pPr>
        <w:tabs>
          <w:tab w:val="left" w:pos="0"/>
        </w:tabs>
        <w:ind w:firstLine="240" w:firstLineChars="100"/>
      </w:pPr>
      <w:r>
        <w:rPr>
          <w:rFonts w:hint="eastAsia"/>
        </w:rPr>
        <w:t>（1）单位工程：每一个集群化监测项目的实施为一个单位工程；</w:t>
      </w:r>
    </w:p>
    <w:p>
      <w:pPr>
        <w:tabs>
          <w:tab w:val="left" w:pos="0"/>
        </w:tabs>
        <w:ind w:firstLine="240" w:firstLineChars="100"/>
        <w:rPr>
          <w:rFonts w:hint="eastAsia"/>
        </w:rPr>
      </w:pPr>
      <w:r>
        <w:rPr>
          <w:rFonts w:hint="eastAsia"/>
        </w:rPr>
        <w:t>（2）分部工程：每一个单位工程分为桥梁外场安装、软件系统安装两个分部工程；</w:t>
      </w:r>
    </w:p>
    <w:p>
      <w:pPr>
        <w:tabs>
          <w:tab w:val="left" w:pos="0"/>
        </w:tabs>
        <w:ind w:firstLine="240" w:firstLineChars="100"/>
      </w:pPr>
      <w:r>
        <w:rPr>
          <w:rFonts w:hint="eastAsia"/>
        </w:rPr>
        <w:t>（3）分项工程：按集群化桥梁项目监测的单体桥梁划分分项工程，各分项工程验收内容包括：传感器安装、控制箱机柜安装、线缆安装、桥架与线管安装、水管水路安装、电源与防雷、标签标志等。软件系统安装按各功能模块划分分项工程。</w:t>
      </w:r>
    </w:p>
    <w:p>
      <w:pPr>
        <w:ind w:firstLine="0" w:firstLineChars="0"/>
      </w:pPr>
      <w:r>
        <w:rPr>
          <w:rFonts w:hint="eastAsia"/>
        </w:rPr>
        <w:t>5.1.1</w:t>
      </w:r>
      <w:r>
        <w:rPr>
          <w:rFonts w:hint="eastAsia"/>
          <w:lang w:val="en-US" w:eastAsia="zh-CN"/>
        </w:rPr>
        <w:t>1</w:t>
      </w:r>
      <w:r>
        <w:rPr>
          <w:rFonts w:hint="eastAsia"/>
        </w:rPr>
        <w:t>硬件的检查包括外观检查和标志检查。外观和标志检查以目测为主，应满足下列要求：</w:t>
      </w:r>
    </w:p>
    <w:p>
      <w:pPr>
        <w:ind w:firstLine="240" w:firstLineChars="100"/>
      </w:pPr>
      <w:r>
        <w:rPr>
          <w:rFonts w:hint="eastAsia"/>
        </w:rPr>
        <w:t>（1）附带技术文件应包括产品合格证和质保书等文件；</w:t>
      </w:r>
    </w:p>
    <w:p>
      <w:pPr>
        <w:ind w:firstLine="240" w:firstLineChars="100"/>
      </w:pPr>
      <w:r>
        <w:rPr>
          <w:rFonts w:hint="eastAsia"/>
        </w:rPr>
        <w:t>（2）当设备的外观尺寸对其安装有影响时，除采用目测检查外，可采用游标卡尺等测试工具对硬件设备的外观尺寸、安装孔尺寸进行检查。</w:t>
      </w:r>
    </w:p>
    <w:p>
      <w:pPr>
        <w:ind w:firstLine="0" w:firstLineChars="0"/>
      </w:pPr>
      <w:r>
        <w:rPr>
          <w:rFonts w:hint="eastAsia"/>
        </w:rPr>
        <w:t>5.1.1</w:t>
      </w:r>
      <w:r>
        <w:rPr>
          <w:rFonts w:hint="eastAsia"/>
          <w:lang w:val="en-US" w:eastAsia="zh-CN"/>
        </w:rPr>
        <w:t>3</w:t>
      </w:r>
      <w:r>
        <w:rPr>
          <w:rFonts w:hint="eastAsia"/>
        </w:rPr>
        <w:t>截面编号可采用阿拉伯数字或英文字母。考虑到箱梁桥内部或受其他结构物、标示牌等阴影遮挡，标示条张贴处的光线可能较暗，故规定采用较为醒目的荧光标示条作为标记物。</w:t>
      </w:r>
    </w:p>
    <w:p>
      <w:pPr>
        <w:ind w:firstLine="0" w:firstLineChars="0"/>
      </w:pPr>
      <w:r>
        <w:rPr>
          <w:rFonts w:hint="eastAsia"/>
        </w:rPr>
        <w:t>5.1.</w:t>
      </w:r>
      <w:r>
        <w:rPr>
          <w:rFonts w:hint="eastAsia"/>
          <w:lang w:val="en-US" w:eastAsia="zh-CN"/>
        </w:rPr>
        <w:t>18</w:t>
      </w:r>
      <w:r>
        <w:rPr>
          <w:rFonts w:hint="eastAsia"/>
        </w:rPr>
        <w:t>对传感器，宜安装专用的保护盒；对外部接线，宜放人专用桥架或线管中。</w:t>
      </w:r>
    </w:p>
    <w:p>
      <w:pPr>
        <w:ind w:firstLine="0" w:firstLineChars="0"/>
      </w:pPr>
      <w:r>
        <w:rPr>
          <w:rFonts w:hint="eastAsia"/>
        </w:rPr>
        <w:t>5.1.</w:t>
      </w:r>
      <w:r>
        <w:rPr>
          <w:rFonts w:hint="eastAsia"/>
          <w:lang w:val="en-US" w:eastAsia="zh-CN"/>
        </w:rPr>
        <w:t>25</w:t>
      </w:r>
      <w:r>
        <w:rPr>
          <w:rFonts w:hint="eastAsia"/>
        </w:rPr>
        <w:t>应向有关部门提交关于设置后台程序的目的、用途、安全性等书面申请。获得批准后方可设计后台程序。不应私自在软件系统上设计后台程序，使软件系统受到非法远程控制或远程传输数据。</w:t>
      </w:r>
    </w:p>
    <w:p>
      <w:pPr>
        <w:ind w:firstLine="0" w:firstLineChars="0"/>
      </w:pPr>
      <w:r>
        <w:rPr>
          <w:rFonts w:hint="eastAsia"/>
        </w:rPr>
        <w:t>5.1.</w:t>
      </w:r>
      <w:r>
        <w:rPr>
          <w:rFonts w:hint="eastAsia"/>
          <w:lang w:val="en-US" w:eastAsia="zh-CN"/>
        </w:rPr>
        <w:t>27</w:t>
      </w:r>
      <w:r>
        <w:rPr>
          <w:rFonts w:hint="eastAsia"/>
        </w:rPr>
        <w:t>系统调试是检验监测系统实施质量、修正实施过程中可能存在错误的重要手段，且调试过程可能造成传感器等设备损坏以及人为事故，故本条规定调试应由专业技术人员进行，专业技术人员宜取得相关专业工程师以上职称或具有相应的执业资格。</w:t>
      </w:r>
    </w:p>
    <w:p>
      <w:pPr>
        <w:pStyle w:val="59"/>
        <w:jc w:val="center"/>
      </w:pPr>
      <w:bookmarkStart w:id="131" w:name="_Toc4132"/>
      <w:bookmarkStart w:id="132" w:name="_Toc136504940"/>
      <w:r>
        <w:rPr>
          <w:rFonts w:hint="eastAsia"/>
        </w:rPr>
        <w:t>5.2系统施工组织</w:t>
      </w:r>
      <w:bookmarkEnd w:id="131"/>
      <w:bookmarkEnd w:id="132"/>
    </w:p>
    <w:p>
      <w:pPr>
        <w:ind w:firstLine="0" w:firstLineChars="0"/>
        <w:rPr>
          <w:rFonts w:hint="default"/>
          <w:lang w:val="en-US"/>
        </w:rPr>
      </w:pPr>
      <w:r>
        <w:rPr>
          <w:rFonts w:hint="eastAsia"/>
        </w:rPr>
        <w:t>5.2.1硬件安装实施</w:t>
      </w:r>
      <w:r>
        <w:rPr>
          <w:rFonts w:hint="eastAsia"/>
          <w:color w:val="auto"/>
          <w:lang w:val="en-US" w:eastAsia="zh-CN"/>
        </w:rPr>
        <w:t>应符合下列规定：</w:t>
      </w:r>
    </w:p>
    <w:p>
      <w:pPr>
        <w:ind w:firstLine="240" w:firstLineChars="100"/>
      </w:pPr>
      <w:r>
        <w:rPr>
          <w:rFonts w:hint="eastAsia"/>
        </w:rPr>
        <w:t>（1）安装表贴式应变传感器时，用专用工具随时测量的目的是为了保证传感器的成活率；</w:t>
      </w:r>
    </w:p>
    <w:p>
      <w:pPr>
        <w:tabs>
          <w:tab w:val="left" w:pos="0"/>
        </w:tabs>
        <w:ind w:left="240" w:firstLine="0" w:firstLineChars="0"/>
      </w:pPr>
      <w:r>
        <w:rPr>
          <w:rFonts w:hint="eastAsia"/>
        </w:rPr>
        <w:t>（2）安装面是指传感器与基座或结构直接接触的面；</w:t>
      </w:r>
    </w:p>
    <w:p>
      <w:pPr>
        <w:ind w:firstLine="240" w:firstLineChars="100"/>
      </w:pPr>
      <w:r>
        <w:rPr>
          <w:rFonts w:hint="eastAsia"/>
        </w:rPr>
        <w:t>（</w:t>
      </w:r>
      <w:r>
        <w:t>3</w:t>
      </w:r>
      <w:r>
        <w:rPr>
          <w:rFonts w:hint="eastAsia"/>
        </w:rPr>
        <w:t>）为保证振捣器不对传感器造成损伤，且振捣过程中不影响传感器的安装位置，本条规定了混凝土浇筑过程中振捣器的使用条件；</w:t>
      </w:r>
    </w:p>
    <w:p>
      <w:pPr>
        <w:ind w:firstLine="240" w:firstLineChars="100"/>
      </w:pPr>
      <w:r>
        <w:rPr>
          <w:rFonts w:hint="eastAsia"/>
        </w:rPr>
        <w:t>（</w:t>
      </w:r>
      <w:r>
        <w:t>4</w:t>
      </w:r>
      <w:r>
        <w:rPr>
          <w:rFonts w:hint="eastAsia"/>
        </w:rPr>
        <w:t>）当连通管中混人气泡时，将影响静力水准仪的准确度，本条对连通管允许的气泡大小进行了规定；</w:t>
      </w:r>
    </w:p>
    <w:p>
      <w:pPr>
        <w:ind w:firstLine="240" w:firstLineChars="100"/>
      </w:pPr>
      <w:r>
        <w:rPr>
          <w:rFonts w:hint="eastAsia"/>
        </w:rPr>
        <w:t>（</w:t>
      </w:r>
      <w:r>
        <w:t>5</w:t>
      </w:r>
      <w:r>
        <w:rPr>
          <w:rFonts w:hint="eastAsia"/>
        </w:rPr>
        <w:t>）现行国家标准《动态公路自动衡器》GB/T 21296的规定，引道应有足够的长度可同时支持衡器称量最长车辆的所有车轮。目前，我国标准中特大型客车的长度13. 7m，平板车17.5m和车头约为21m，其前轮和最后一个轮的轴距应小于20m，故规定引道长度不小于20m；</w:t>
      </w:r>
    </w:p>
    <w:p>
      <w:pPr>
        <w:ind w:firstLine="240" w:firstLineChars="100"/>
      </w:pPr>
      <w:r>
        <w:rPr>
          <w:rFonts w:hint="eastAsia"/>
        </w:rPr>
        <w:t>（</w:t>
      </w:r>
      <w:r>
        <w:t>6</w:t>
      </w:r>
      <w:r>
        <w:rPr>
          <w:rFonts w:hint="eastAsia"/>
        </w:rPr>
        <w:t>）积水可能导致动态称重传感器损坏或降低其耐久性。故本条对动态称重系统的排水施工进行了规定；</w:t>
      </w:r>
    </w:p>
    <w:p>
      <w:pPr>
        <w:tabs>
          <w:tab w:val="left" w:pos="0"/>
        </w:tabs>
        <w:ind w:left="240" w:firstLine="0" w:firstLineChars="0"/>
      </w:pPr>
      <w:r>
        <w:rPr>
          <w:rFonts w:hint="eastAsia"/>
        </w:rPr>
        <w:t>（</w:t>
      </w:r>
      <w:r>
        <w:t>7</w:t>
      </w:r>
      <w:r>
        <w:rPr>
          <w:rFonts w:hint="eastAsia"/>
        </w:rPr>
        <w:t>）若动态称重传感器与道路高差较大，易因跳车现象导致测量失真；</w:t>
      </w:r>
    </w:p>
    <w:p>
      <w:pPr>
        <w:tabs>
          <w:tab w:val="left" w:pos="0"/>
        </w:tabs>
        <w:ind w:left="240" w:firstLine="0" w:firstLineChars="0"/>
      </w:pPr>
      <w:r>
        <w:rPr>
          <w:rFonts w:hint="eastAsia"/>
        </w:rPr>
        <w:t>（8）采用钢筋作为辅助定位工具的目的主要是为在后期封孔过程中保持传感器位置不易扰动。</w:t>
      </w:r>
    </w:p>
    <w:p>
      <w:pPr>
        <w:ind w:firstLine="0" w:firstLineChars="0"/>
      </w:pPr>
      <w:r>
        <w:rPr>
          <w:rFonts w:hint="eastAsia"/>
        </w:rPr>
        <w:t>5.2.3系统调试与验证</w:t>
      </w:r>
      <w:r>
        <w:rPr>
          <w:rFonts w:hint="eastAsia"/>
          <w:color w:val="auto"/>
        </w:rPr>
        <w:t>应符合下列规定</w:t>
      </w:r>
    </w:p>
    <w:p>
      <w:pPr>
        <w:ind w:firstLine="240" w:firstLineChars="100"/>
      </w:pPr>
      <w:r>
        <w:rPr>
          <w:rFonts w:hint="eastAsia"/>
        </w:rPr>
        <w:t>（1）每月平均无故障工作时间指系统每月30天内正常工作的总小时数，其中，自动定时采集所得数据连续3次异常视为系统工作不正常；</w:t>
      </w:r>
    </w:p>
    <w:p>
      <w:pPr>
        <w:ind w:firstLine="240" w:firstLineChars="100"/>
      </w:pPr>
      <w:r>
        <w:rPr>
          <w:rFonts w:hint="eastAsia"/>
        </w:rPr>
        <w:t>（</w:t>
      </w:r>
      <w:r>
        <w:t>2</w:t>
      </w:r>
      <w:r>
        <w:rPr>
          <w:rFonts w:hint="eastAsia"/>
        </w:rPr>
        <w:t>）在桥梁结构健康监测系统中，温度、湿度、风速和裂缝等测试参数均可采用参考计量仪器进行验证；</w:t>
      </w:r>
    </w:p>
    <w:p>
      <w:pPr>
        <w:ind w:firstLine="240" w:firstLineChars="100"/>
      </w:pPr>
      <w:r>
        <w:rPr>
          <w:rFonts w:hint="eastAsia"/>
        </w:rPr>
        <w:t>（</w:t>
      </w:r>
      <w:r>
        <w:t>3</w:t>
      </w:r>
      <w:r>
        <w:rPr>
          <w:rFonts w:hint="eastAsia"/>
        </w:rPr>
        <w:t>）对于挠度，同一影响线段内，定期观测截面与健康监测布点截面之间的距离小于该段影响线长度的1/10时可视为相同截面；对于桥塔的塔顶等位移，定期观测截面与健康监测布点截面之间的距离小于5m时可视为相同截面。</w:t>
      </w:r>
    </w:p>
    <w:p>
      <w:pPr>
        <w:pStyle w:val="58"/>
        <w:tabs>
          <w:tab w:val="left" w:pos="3518"/>
        </w:tabs>
        <w:jc w:val="both"/>
        <w:rPr>
          <w:b w:val="0"/>
          <w:bCs w:val="0"/>
        </w:rPr>
      </w:pPr>
    </w:p>
    <w:p>
      <w:pPr>
        <w:widowControl/>
        <w:spacing w:line="240" w:lineRule="auto"/>
        <w:ind w:firstLine="0" w:firstLineChars="0"/>
        <w:jc w:val="left"/>
        <w:rPr>
          <w:b/>
          <w:bCs/>
          <w:sz w:val="32"/>
          <w:szCs w:val="32"/>
        </w:rPr>
      </w:pPr>
    </w:p>
    <w:p>
      <w:pPr>
        <w:widowControl/>
        <w:spacing w:line="240" w:lineRule="auto"/>
        <w:ind w:firstLine="0" w:firstLineChars="0"/>
        <w:jc w:val="left"/>
        <w:rPr>
          <w:b/>
          <w:bCs/>
          <w:sz w:val="32"/>
          <w:szCs w:val="32"/>
        </w:rPr>
      </w:pPr>
      <w:r>
        <w:br w:type="page"/>
      </w:r>
    </w:p>
    <w:p>
      <w:pPr>
        <w:pStyle w:val="58"/>
        <w:ind w:firstLine="480"/>
      </w:pPr>
      <w:bookmarkStart w:id="133" w:name="_Toc136504941"/>
      <w:r>
        <w:rPr>
          <w:rFonts w:hint="eastAsia"/>
        </w:rPr>
        <w:t>6</w:t>
      </w:r>
      <w:r>
        <w:t xml:space="preserve"> </w:t>
      </w:r>
      <w:r>
        <w:rPr>
          <w:rFonts w:hint="eastAsia"/>
        </w:rPr>
        <w:t>系统管理及维护</w:t>
      </w:r>
      <w:bookmarkEnd w:id="133"/>
    </w:p>
    <w:p>
      <w:pPr>
        <w:pStyle w:val="59"/>
        <w:spacing w:line="360" w:lineRule="auto"/>
        <w:ind w:firstLine="480"/>
        <w:jc w:val="center"/>
      </w:pPr>
      <w:bookmarkStart w:id="134" w:name="_Toc136504942"/>
      <w:r>
        <w:rPr>
          <w:rFonts w:hint="eastAsia"/>
        </w:rPr>
        <w:t>6.3 专项维护</w:t>
      </w:r>
      <w:bookmarkEnd w:id="134"/>
    </w:p>
    <w:p>
      <w:pPr>
        <w:spacing w:line="360" w:lineRule="auto"/>
        <w:ind w:firstLine="0" w:firstLineChars="0"/>
        <w:rPr>
          <w:bCs/>
          <w:szCs w:val="32"/>
          <w:lang w:bidi="ar"/>
        </w:rPr>
      </w:pPr>
      <w:r>
        <w:rPr>
          <w:rFonts w:hint="eastAsia"/>
          <w:b/>
          <w:szCs w:val="32"/>
          <w:lang w:bidi="ar"/>
        </w:rPr>
        <w:t>6.3.</w:t>
      </w:r>
      <w:r>
        <w:rPr>
          <w:rFonts w:hint="eastAsia"/>
          <w:b/>
          <w:szCs w:val="32"/>
          <w:lang w:val="en-US" w:eastAsia="zh-CN" w:bidi="ar"/>
        </w:rPr>
        <w:t>2</w:t>
      </w:r>
      <w:r>
        <w:rPr>
          <w:rFonts w:hint="eastAsia"/>
          <w:bCs/>
          <w:szCs w:val="32"/>
          <w:lang w:bidi="ar"/>
        </w:rPr>
        <w:t>数据传输设备，包括数据传输终端设备、数据传输互联设备、数据传输介质设备。数据传输终端设备是指数据传输中一端或另一端的设备，包括计算机显示终端设备或其他终端设备。数据传输互联设备是指数据传输过程中实现一种网络与另一种网络互访与通信的设备，主要设备有中继器、集线器、网桥、路由器等。数据传输介质设备分为有线传输介质设备和无线传输介质设备两大类。其中，有线传输介质设备是指在两个通信设备之间实现的物理连接部分，主要有双绞线、同轴电缆和光纤。</w:t>
      </w:r>
    </w:p>
    <w:p>
      <w:pPr>
        <w:spacing w:line="360" w:lineRule="auto"/>
        <w:ind w:firstLine="0" w:firstLineChars="0"/>
        <w:rPr>
          <w:bCs/>
          <w:szCs w:val="32"/>
          <w:lang w:bidi="ar"/>
        </w:rPr>
      </w:pPr>
      <w:r>
        <w:rPr>
          <w:rFonts w:hint="eastAsia"/>
          <w:b/>
          <w:szCs w:val="32"/>
          <w:lang w:bidi="ar"/>
        </w:rPr>
        <w:t>6.3.</w:t>
      </w:r>
      <w:r>
        <w:rPr>
          <w:rFonts w:hint="eastAsia"/>
          <w:b/>
          <w:szCs w:val="32"/>
          <w:lang w:val="en-US" w:eastAsia="zh-CN" w:bidi="ar"/>
        </w:rPr>
        <w:t>3</w:t>
      </w:r>
      <w:r>
        <w:rPr>
          <w:rFonts w:hint="eastAsia"/>
          <w:bCs/>
          <w:szCs w:val="32"/>
          <w:lang w:bidi="ar"/>
        </w:rPr>
        <w:t>数据存储设备按照存储方式可分为电能式、磁能式、光学式、磁光式等几种类型。结构健康监测系统通常釆用磁能方式存储设备进行监测数据的存储和备份。数据存储设备根据使用需要可配备多种附属设备，包括温控设备、不间断电源等。</w:t>
      </w:r>
    </w:p>
    <w:p>
      <w:pPr>
        <w:pStyle w:val="59"/>
        <w:spacing w:line="360" w:lineRule="auto"/>
        <w:ind w:firstLine="480"/>
        <w:jc w:val="center"/>
      </w:pPr>
      <w:bookmarkStart w:id="135" w:name="_Toc136504943"/>
      <w:r>
        <w:rPr>
          <w:rFonts w:hint="eastAsia"/>
        </w:rPr>
        <w:t>6.4 异常处置</w:t>
      </w:r>
      <w:bookmarkEnd w:id="135"/>
    </w:p>
    <w:p>
      <w:pPr>
        <w:spacing w:line="360" w:lineRule="auto"/>
        <w:ind w:firstLine="0" w:firstLineChars="0"/>
        <w:rPr>
          <w:bCs/>
          <w:szCs w:val="32"/>
          <w:lang w:bidi="ar"/>
        </w:rPr>
      </w:pPr>
      <w:r>
        <w:rPr>
          <w:rFonts w:hint="eastAsia" w:cs="Mongolian Baiti"/>
          <w:b/>
          <w:szCs w:val="32"/>
          <w:lang w:bidi="ar"/>
        </w:rPr>
        <w:t>6.4.1</w:t>
      </w:r>
      <w:r>
        <w:rPr>
          <w:rFonts w:hint="eastAsia" w:cs="Mongolian Baiti"/>
          <w:bCs/>
          <w:szCs w:val="32"/>
          <w:lang w:bidi="ar"/>
        </w:rPr>
        <w:t xml:space="preserve"> 系统异常包括报警和故障两种情况。对于系统故障应分清是硬件故障、软件操作系统故障还是数据库故障。对于数据库故障的处置，应由专业的数据库管理员严格按操作程序进行，不能由系统管理员或使用者直接进行恢复。数据库恢复前应制定详细的书面恢复计划并提交给相应的主管领导审批，包括应恢复的内容、恢复的时间、恢复的操作步骤、恢复对应用造成的影响等。主管领导应确认恢复造成的影响，在批准执行恢复前应以相应方式与有关部门进行沟通。在进行恢复前，首先应对现有的内容作相应的备份，以防止在恢复的过程中发生更进一步的错误，并再次确认恢复计划的可行性及造成的后果，确认无误后进入实际的恢复操作，应将每一步的执行过程记录下来以备后用。在完成恢复操作并对系统测试成功运行后，应对恢复后的系统进行相应的备份。 </w:t>
      </w:r>
    </w:p>
    <w:p>
      <w:pPr>
        <w:snapToGrid w:val="0"/>
        <w:spacing w:line="360" w:lineRule="auto"/>
        <w:ind w:firstLine="0" w:firstLineChars="0"/>
      </w:pPr>
      <w:r>
        <w:rPr>
          <w:rFonts w:hint="eastAsia" w:cs="Mongolian Baiti"/>
          <w:b/>
          <w:szCs w:val="32"/>
          <w:lang w:bidi="ar"/>
        </w:rPr>
        <w:t>6.4.2</w:t>
      </w:r>
      <w:r>
        <w:rPr>
          <w:rFonts w:hint="eastAsia" w:cs="Mongolian Baiti"/>
          <w:bCs/>
          <w:szCs w:val="32"/>
          <w:lang w:bidi="ar"/>
        </w:rPr>
        <w:t xml:space="preserve"> 应急预案是异常处置工作的核心，预案应对出现的各种可能异常全面考虑。系统相关人员发现异常时，应快速对照应急预案启动条件，准确判断是否需要启动应急处理流程。维护工程师应保证接警通畅、及时，对异常事件定位、分类准确，在现场处置力量不够的情况下，要及时向上级主管报告，寻求更多的支持。</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golian Baiti">
    <w:panose1 w:val="03000500000000000000"/>
    <w:charset w:val="00"/>
    <w:family w:val="script"/>
    <w:pitch w:val="default"/>
    <w:sig w:usb0="80000023" w:usb1="00000000" w:usb2="00020000" w:usb3="00000000" w:csb0="0000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华光书宋_CNKI">
    <w:altName w:val="宋体"/>
    <w:panose1 w:val="02000500000000000000"/>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MS Mincho">
    <w:altName w:val="Yu Gothic UI"/>
    <w:panose1 w:val="02020609040205080304"/>
    <w:charset w:val="80"/>
    <w:family w:val="roman"/>
    <w:pitch w:val="default"/>
    <w:sig w:usb0="00000000" w:usb1="00000000" w:usb2="00000012" w:usb3="00000000" w:csb0="4002009F" w:csb1="DFD70000"/>
  </w:font>
  <w:font w:name="Cambria Math">
    <w:panose1 w:val="02040503050406030204"/>
    <w:charset w:val="00"/>
    <w:family w:val="roman"/>
    <w:pitch w:val="default"/>
    <w:sig w:usb0="E00006FF" w:usb1="420024FF" w:usb2="02000000" w:usb3="00000000" w:csb0="2000019F" w:csb1="00000000"/>
  </w:font>
  <w:font w:name="STSong-Light">
    <w:altName w:val="Times New Roman"/>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16079"/>
    </w:sdtPr>
    <w:sdtEndPr>
      <w:rPr>
        <w:sz w:val="21"/>
        <w:szCs w:val="21"/>
      </w:rPr>
    </w:sdtEndPr>
    <w:sdtContent>
      <w:p>
        <w:pPr>
          <w:pStyle w:val="15"/>
          <w:ind w:firstLine="36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pPr>
      <w:pStyle w:val="1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49440084"/>
    </w:sdtPr>
    <w:sdtEndPr>
      <w:rPr>
        <w:sz w:val="21"/>
        <w:szCs w:val="21"/>
      </w:rPr>
    </w:sdtEndPr>
    <w:sdtContent>
      <w:p>
        <w:pPr>
          <w:pStyle w:val="15"/>
          <w:ind w:firstLine="36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w:t>
        </w:r>
        <w:r>
          <w:rPr>
            <w:sz w:val="21"/>
            <w:szCs w:val="21"/>
          </w:rPr>
          <w:fldChar w:fldCharType="end"/>
        </w:r>
      </w:p>
    </w:sdtContent>
  </w:sdt>
  <w:p>
    <w:pPr>
      <w:pStyle w:val="15"/>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30722399"/>
    </w:sdtPr>
    <w:sdtEndPr>
      <w:rPr>
        <w:sz w:val="21"/>
        <w:szCs w:val="21"/>
      </w:rPr>
    </w:sdtEndPr>
    <w:sdtContent>
      <w:p>
        <w:pPr>
          <w:pStyle w:val="15"/>
          <w:ind w:firstLine="36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18</w:t>
        </w:r>
        <w:r>
          <w:rPr>
            <w:sz w:val="21"/>
            <w:szCs w:val="21"/>
          </w:rPr>
          <w:fldChar w:fldCharType="end"/>
        </w:r>
      </w:p>
    </w:sdtContent>
  </w:sdt>
  <w:p>
    <w:pPr>
      <w:pStyle w:val="1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88" w:lineRule="auto"/>
        <w:ind w:firstLine="480"/>
      </w:pPr>
      <w:r>
        <w:separator/>
      </w:r>
    </w:p>
  </w:footnote>
  <w:footnote w:type="continuationSeparator" w:id="1">
    <w:p>
      <w:pPr>
        <w:spacing w:line="288"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15B5C3"/>
    <w:multiLevelType w:val="singleLevel"/>
    <w:tmpl w:val="9315B5C3"/>
    <w:lvl w:ilvl="0" w:tentative="0">
      <w:start w:val="1"/>
      <w:numFmt w:val="decimal"/>
      <w:suff w:val="nothing"/>
      <w:lvlText w:val="%1）"/>
      <w:lvlJc w:val="left"/>
      <w:pPr>
        <w:tabs>
          <w:tab w:val="left" w:pos="0"/>
        </w:tabs>
      </w:pPr>
      <w:rPr>
        <w:rFonts w:hint="default"/>
      </w:rPr>
    </w:lvl>
  </w:abstractNum>
  <w:abstractNum w:abstractNumId="1">
    <w:nsid w:val="9C28833B"/>
    <w:multiLevelType w:val="singleLevel"/>
    <w:tmpl w:val="9C28833B"/>
    <w:lvl w:ilvl="0" w:tentative="0">
      <w:start w:val="1"/>
      <w:numFmt w:val="decimal"/>
      <w:suff w:val="nothing"/>
      <w:lvlText w:val="%1）"/>
      <w:lvlJc w:val="left"/>
      <w:pPr>
        <w:tabs>
          <w:tab w:val="left" w:pos="0"/>
        </w:tabs>
      </w:pPr>
      <w:rPr>
        <w:rFonts w:hint="default"/>
      </w:rPr>
    </w:lvl>
  </w:abstractNum>
  <w:abstractNum w:abstractNumId="2">
    <w:nsid w:val="9FA8FC53"/>
    <w:multiLevelType w:val="singleLevel"/>
    <w:tmpl w:val="9FA8FC53"/>
    <w:lvl w:ilvl="0" w:tentative="0">
      <w:start w:val="1"/>
      <w:numFmt w:val="decimal"/>
      <w:suff w:val="nothing"/>
      <w:lvlText w:val="%1）"/>
      <w:lvlJc w:val="left"/>
      <w:pPr>
        <w:tabs>
          <w:tab w:val="left" w:pos="0"/>
        </w:tabs>
      </w:pPr>
      <w:rPr>
        <w:rFonts w:hint="default"/>
      </w:rPr>
    </w:lvl>
  </w:abstractNum>
  <w:abstractNum w:abstractNumId="3">
    <w:nsid w:val="A645BB46"/>
    <w:multiLevelType w:val="singleLevel"/>
    <w:tmpl w:val="A645BB46"/>
    <w:lvl w:ilvl="0" w:tentative="0">
      <w:start w:val="1"/>
      <w:numFmt w:val="decimal"/>
      <w:suff w:val="nothing"/>
      <w:lvlText w:val="%1）"/>
      <w:lvlJc w:val="left"/>
      <w:pPr>
        <w:tabs>
          <w:tab w:val="left" w:pos="0"/>
        </w:tabs>
      </w:pPr>
      <w:rPr>
        <w:rFonts w:hint="default"/>
      </w:rPr>
    </w:lvl>
  </w:abstractNum>
  <w:abstractNum w:abstractNumId="4">
    <w:nsid w:val="ABC927C7"/>
    <w:multiLevelType w:val="singleLevel"/>
    <w:tmpl w:val="ABC927C7"/>
    <w:lvl w:ilvl="0" w:tentative="0">
      <w:start w:val="1"/>
      <w:numFmt w:val="decimal"/>
      <w:suff w:val="nothing"/>
      <w:lvlText w:val="%1）"/>
      <w:lvlJc w:val="left"/>
      <w:pPr>
        <w:tabs>
          <w:tab w:val="left" w:pos="0"/>
        </w:tabs>
      </w:pPr>
      <w:rPr>
        <w:rFonts w:hint="default"/>
      </w:rPr>
    </w:lvl>
  </w:abstractNum>
  <w:abstractNum w:abstractNumId="5">
    <w:nsid w:val="B74CAC6B"/>
    <w:multiLevelType w:val="singleLevel"/>
    <w:tmpl w:val="B74CAC6B"/>
    <w:lvl w:ilvl="0" w:tentative="0">
      <w:start w:val="1"/>
      <w:numFmt w:val="decimal"/>
      <w:suff w:val="nothing"/>
      <w:lvlText w:val="%1）"/>
      <w:lvlJc w:val="left"/>
      <w:pPr>
        <w:tabs>
          <w:tab w:val="left" w:pos="0"/>
        </w:tabs>
      </w:pPr>
      <w:rPr>
        <w:rFonts w:hint="default"/>
      </w:rPr>
    </w:lvl>
  </w:abstractNum>
  <w:abstractNum w:abstractNumId="6">
    <w:nsid w:val="B94AAAC5"/>
    <w:multiLevelType w:val="singleLevel"/>
    <w:tmpl w:val="B94AAAC5"/>
    <w:lvl w:ilvl="0" w:tentative="0">
      <w:start w:val="1"/>
      <w:numFmt w:val="decimal"/>
      <w:suff w:val="nothing"/>
      <w:lvlText w:val="%1）"/>
      <w:lvlJc w:val="left"/>
      <w:pPr>
        <w:tabs>
          <w:tab w:val="left" w:pos="0"/>
        </w:tabs>
      </w:pPr>
      <w:rPr>
        <w:rFonts w:hint="default"/>
      </w:rPr>
    </w:lvl>
  </w:abstractNum>
  <w:abstractNum w:abstractNumId="7">
    <w:nsid w:val="BE347CE0"/>
    <w:multiLevelType w:val="singleLevel"/>
    <w:tmpl w:val="BE347CE0"/>
    <w:lvl w:ilvl="0" w:tentative="0">
      <w:start w:val="1"/>
      <w:numFmt w:val="decimal"/>
      <w:suff w:val="nothing"/>
      <w:lvlText w:val="%1）"/>
      <w:lvlJc w:val="left"/>
      <w:pPr>
        <w:tabs>
          <w:tab w:val="left" w:pos="0"/>
        </w:tabs>
      </w:pPr>
      <w:rPr>
        <w:rFonts w:hint="default"/>
      </w:rPr>
    </w:lvl>
  </w:abstractNum>
  <w:abstractNum w:abstractNumId="8">
    <w:nsid w:val="C85F3058"/>
    <w:multiLevelType w:val="singleLevel"/>
    <w:tmpl w:val="C85F3058"/>
    <w:lvl w:ilvl="0" w:tentative="0">
      <w:start w:val="1"/>
      <w:numFmt w:val="decimal"/>
      <w:suff w:val="nothing"/>
      <w:lvlText w:val="%1）"/>
      <w:lvlJc w:val="left"/>
      <w:pPr>
        <w:tabs>
          <w:tab w:val="left" w:pos="0"/>
        </w:tabs>
      </w:pPr>
      <w:rPr>
        <w:rFonts w:hint="default"/>
      </w:rPr>
    </w:lvl>
  </w:abstractNum>
  <w:abstractNum w:abstractNumId="9">
    <w:nsid w:val="CA4FCF73"/>
    <w:multiLevelType w:val="singleLevel"/>
    <w:tmpl w:val="CA4FCF73"/>
    <w:lvl w:ilvl="0" w:tentative="0">
      <w:start w:val="1"/>
      <w:numFmt w:val="decimal"/>
      <w:suff w:val="space"/>
      <w:lvlText w:val=" %1"/>
      <w:lvlJc w:val="left"/>
      <w:pPr>
        <w:tabs>
          <w:tab w:val="left" w:pos="420"/>
        </w:tabs>
        <w:ind w:firstLine="327"/>
      </w:pPr>
      <w:rPr>
        <w:rFonts w:hint="default" w:ascii="宋体" w:hAnsi="宋体" w:eastAsia="宋体" w:cs="宋体"/>
      </w:rPr>
    </w:lvl>
  </w:abstractNum>
  <w:abstractNum w:abstractNumId="10">
    <w:nsid w:val="CBEB7A2A"/>
    <w:multiLevelType w:val="singleLevel"/>
    <w:tmpl w:val="CBEB7A2A"/>
    <w:lvl w:ilvl="0" w:tentative="0">
      <w:start w:val="1"/>
      <w:numFmt w:val="decimal"/>
      <w:suff w:val="nothing"/>
      <w:lvlText w:val="%1）"/>
      <w:lvlJc w:val="left"/>
      <w:pPr>
        <w:tabs>
          <w:tab w:val="left" w:pos="0"/>
        </w:tabs>
      </w:pPr>
      <w:rPr>
        <w:rFonts w:hint="default"/>
      </w:rPr>
    </w:lvl>
  </w:abstractNum>
  <w:abstractNum w:abstractNumId="11">
    <w:nsid w:val="D040EB7F"/>
    <w:multiLevelType w:val="singleLevel"/>
    <w:tmpl w:val="D040EB7F"/>
    <w:lvl w:ilvl="0" w:tentative="0">
      <w:start w:val="1"/>
      <w:numFmt w:val="decimal"/>
      <w:suff w:val="nothing"/>
      <w:lvlText w:val="%1）"/>
      <w:lvlJc w:val="left"/>
      <w:pPr>
        <w:tabs>
          <w:tab w:val="left" w:pos="0"/>
        </w:tabs>
      </w:pPr>
      <w:rPr>
        <w:rFonts w:hint="default"/>
      </w:rPr>
    </w:lvl>
  </w:abstractNum>
  <w:abstractNum w:abstractNumId="12">
    <w:nsid w:val="D70BBC7D"/>
    <w:multiLevelType w:val="singleLevel"/>
    <w:tmpl w:val="D70BBC7D"/>
    <w:lvl w:ilvl="0" w:tentative="0">
      <w:start w:val="1"/>
      <w:numFmt w:val="decimal"/>
      <w:suff w:val="space"/>
      <w:lvlText w:val=" %1"/>
      <w:lvlJc w:val="left"/>
      <w:pPr>
        <w:tabs>
          <w:tab w:val="left" w:pos="420"/>
        </w:tabs>
        <w:ind w:firstLine="327"/>
      </w:pPr>
      <w:rPr>
        <w:rFonts w:hint="default" w:ascii="宋体" w:hAnsi="宋体" w:eastAsia="宋体" w:cs="宋体"/>
      </w:rPr>
    </w:lvl>
  </w:abstractNum>
  <w:abstractNum w:abstractNumId="13">
    <w:nsid w:val="DA1B9F1A"/>
    <w:multiLevelType w:val="singleLevel"/>
    <w:tmpl w:val="DA1B9F1A"/>
    <w:lvl w:ilvl="0" w:tentative="0">
      <w:start w:val="1"/>
      <w:numFmt w:val="decimal"/>
      <w:suff w:val="nothing"/>
      <w:lvlText w:val="%1）"/>
      <w:lvlJc w:val="left"/>
      <w:pPr>
        <w:tabs>
          <w:tab w:val="left" w:pos="0"/>
        </w:tabs>
      </w:pPr>
      <w:rPr>
        <w:rFonts w:hint="default"/>
      </w:rPr>
    </w:lvl>
  </w:abstractNum>
  <w:abstractNum w:abstractNumId="14">
    <w:nsid w:val="DA568A2C"/>
    <w:multiLevelType w:val="singleLevel"/>
    <w:tmpl w:val="DA568A2C"/>
    <w:lvl w:ilvl="0" w:tentative="0">
      <w:start w:val="1"/>
      <w:numFmt w:val="decimal"/>
      <w:suff w:val="space"/>
      <w:lvlText w:val=" %1"/>
      <w:lvlJc w:val="left"/>
      <w:pPr>
        <w:tabs>
          <w:tab w:val="left" w:pos="420"/>
        </w:tabs>
        <w:ind w:firstLine="327"/>
      </w:pPr>
      <w:rPr>
        <w:rFonts w:hint="default" w:ascii="宋体" w:hAnsi="宋体" w:eastAsia="宋体" w:cs="宋体"/>
      </w:rPr>
    </w:lvl>
  </w:abstractNum>
  <w:abstractNum w:abstractNumId="15">
    <w:nsid w:val="DE61554C"/>
    <w:multiLevelType w:val="singleLevel"/>
    <w:tmpl w:val="DE61554C"/>
    <w:lvl w:ilvl="0" w:tentative="0">
      <w:start w:val="1"/>
      <w:numFmt w:val="decimal"/>
      <w:suff w:val="nothing"/>
      <w:lvlText w:val="%1）"/>
      <w:lvlJc w:val="left"/>
      <w:pPr>
        <w:tabs>
          <w:tab w:val="left" w:pos="0"/>
        </w:tabs>
      </w:pPr>
      <w:rPr>
        <w:rFonts w:hint="default"/>
      </w:rPr>
    </w:lvl>
  </w:abstractNum>
  <w:abstractNum w:abstractNumId="16">
    <w:nsid w:val="E17E6FC2"/>
    <w:multiLevelType w:val="singleLevel"/>
    <w:tmpl w:val="E17E6FC2"/>
    <w:lvl w:ilvl="0" w:tentative="0">
      <w:start w:val="1"/>
      <w:numFmt w:val="decimal"/>
      <w:suff w:val="nothing"/>
      <w:lvlText w:val="%1）"/>
      <w:lvlJc w:val="left"/>
      <w:pPr>
        <w:tabs>
          <w:tab w:val="left" w:pos="0"/>
        </w:tabs>
      </w:pPr>
      <w:rPr>
        <w:rFonts w:hint="default"/>
      </w:rPr>
    </w:lvl>
  </w:abstractNum>
  <w:abstractNum w:abstractNumId="17">
    <w:nsid w:val="E6ECBB86"/>
    <w:multiLevelType w:val="singleLevel"/>
    <w:tmpl w:val="E6ECBB86"/>
    <w:lvl w:ilvl="0" w:tentative="0">
      <w:start w:val="1"/>
      <w:numFmt w:val="decimal"/>
      <w:suff w:val="nothing"/>
      <w:lvlText w:val="%1）"/>
      <w:lvlJc w:val="left"/>
      <w:pPr>
        <w:tabs>
          <w:tab w:val="left" w:pos="0"/>
        </w:tabs>
      </w:pPr>
      <w:rPr>
        <w:rFonts w:hint="default"/>
      </w:rPr>
    </w:lvl>
  </w:abstractNum>
  <w:abstractNum w:abstractNumId="18">
    <w:nsid w:val="E76AF138"/>
    <w:multiLevelType w:val="singleLevel"/>
    <w:tmpl w:val="E76AF138"/>
    <w:lvl w:ilvl="0" w:tentative="0">
      <w:start w:val="1"/>
      <w:numFmt w:val="decimal"/>
      <w:suff w:val="nothing"/>
      <w:lvlText w:val="%1）"/>
      <w:lvlJc w:val="left"/>
      <w:pPr>
        <w:tabs>
          <w:tab w:val="left" w:pos="0"/>
        </w:tabs>
      </w:pPr>
      <w:rPr>
        <w:rFonts w:hint="default"/>
      </w:rPr>
    </w:lvl>
  </w:abstractNum>
  <w:abstractNum w:abstractNumId="19">
    <w:nsid w:val="EE94E22A"/>
    <w:multiLevelType w:val="singleLevel"/>
    <w:tmpl w:val="EE94E22A"/>
    <w:lvl w:ilvl="0" w:tentative="0">
      <w:start w:val="1"/>
      <w:numFmt w:val="decimal"/>
      <w:suff w:val="nothing"/>
      <w:lvlText w:val="%1）"/>
      <w:lvlJc w:val="left"/>
      <w:pPr>
        <w:tabs>
          <w:tab w:val="left" w:pos="0"/>
        </w:tabs>
      </w:pPr>
      <w:rPr>
        <w:rFonts w:hint="default"/>
      </w:rPr>
    </w:lvl>
  </w:abstractNum>
  <w:abstractNum w:abstractNumId="20">
    <w:nsid w:val="F0B4D0CA"/>
    <w:multiLevelType w:val="singleLevel"/>
    <w:tmpl w:val="F0B4D0CA"/>
    <w:lvl w:ilvl="0" w:tentative="0">
      <w:start w:val="1"/>
      <w:numFmt w:val="decimal"/>
      <w:suff w:val="nothing"/>
      <w:lvlText w:val="%1）"/>
      <w:lvlJc w:val="left"/>
      <w:pPr>
        <w:tabs>
          <w:tab w:val="left" w:pos="0"/>
        </w:tabs>
      </w:pPr>
      <w:rPr>
        <w:rFonts w:hint="default"/>
      </w:rPr>
    </w:lvl>
  </w:abstractNum>
  <w:abstractNum w:abstractNumId="21">
    <w:nsid w:val="F65204C5"/>
    <w:multiLevelType w:val="singleLevel"/>
    <w:tmpl w:val="F65204C5"/>
    <w:lvl w:ilvl="0" w:tentative="0">
      <w:start w:val="1"/>
      <w:numFmt w:val="decimal"/>
      <w:suff w:val="nothing"/>
      <w:lvlText w:val="%1）"/>
      <w:lvlJc w:val="left"/>
      <w:pPr>
        <w:tabs>
          <w:tab w:val="left" w:pos="0"/>
        </w:tabs>
      </w:pPr>
      <w:rPr>
        <w:rFonts w:hint="default"/>
      </w:rPr>
    </w:lvl>
  </w:abstractNum>
  <w:abstractNum w:abstractNumId="22">
    <w:nsid w:val="FE8790D3"/>
    <w:multiLevelType w:val="singleLevel"/>
    <w:tmpl w:val="FE8790D3"/>
    <w:lvl w:ilvl="0" w:tentative="0">
      <w:start w:val="1"/>
      <w:numFmt w:val="decimal"/>
      <w:suff w:val="nothing"/>
      <w:lvlText w:val="%1）"/>
      <w:lvlJc w:val="left"/>
      <w:pPr>
        <w:tabs>
          <w:tab w:val="left" w:pos="0"/>
        </w:tabs>
        <w:ind w:left="-21"/>
      </w:pPr>
      <w:rPr>
        <w:rFonts w:hint="default"/>
      </w:rPr>
    </w:lvl>
  </w:abstractNum>
  <w:abstractNum w:abstractNumId="23">
    <w:nsid w:val="FF84D0EA"/>
    <w:multiLevelType w:val="singleLevel"/>
    <w:tmpl w:val="FF84D0EA"/>
    <w:lvl w:ilvl="0" w:tentative="0">
      <w:start w:val="1"/>
      <w:numFmt w:val="decimal"/>
      <w:suff w:val="nothing"/>
      <w:lvlText w:val="%1）"/>
      <w:lvlJc w:val="left"/>
      <w:pPr>
        <w:tabs>
          <w:tab w:val="left" w:pos="0"/>
        </w:tabs>
      </w:pPr>
      <w:rPr>
        <w:rFonts w:hint="default"/>
      </w:rPr>
    </w:lvl>
  </w:abstractNum>
  <w:abstractNum w:abstractNumId="24">
    <w:nsid w:val="06D46042"/>
    <w:multiLevelType w:val="singleLevel"/>
    <w:tmpl w:val="06D46042"/>
    <w:lvl w:ilvl="0" w:tentative="0">
      <w:start w:val="1"/>
      <w:numFmt w:val="decimal"/>
      <w:suff w:val="nothing"/>
      <w:lvlText w:val="%1）"/>
      <w:lvlJc w:val="left"/>
      <w:pPr>
        <w:tabs>
          <w:tab w:val="left" w:pos="0"/>
        </w:tabs>
      </w:pPr>
      <w:rPr>
        <w:rFonts w:hint="default"/>
      </w:rPr>
    </w:lvl>
  </w:abstractNum>
  <w:abstractNum w:abstractNumId="25">
    <w:nsid w:val="0FFF5380"/>
    <w:multiLevelType w:val="singleLevel"/>
    <w:tmpl w:val="0FFF5380"/>
    <w:lvl w:ilvl="0" w:tentative="0">
      <w:start w:val="1"/>
      <w:numFmt w:val="decimal"/>
      <w:suff w:val="nothing"/>
      <w:lvlText w:val="%1）"/>
      <w:lvlJc w:val="left"/>
      <w:pPr>
        <w:tabs>
          <w:tab w:val="left" w:pos="0"/>
        </w:tabs>
      </w:pPr>
      <w:rPr>
        <w:rFonts w:hint="default"/>
      </w:rPr>
    </w:lvl>
  </w:abstractNum>
  <w:abstractNum w:abstractNumId="26">
    <w:nsid w:val="140A3C4A"/>
    <w:multiLevelType w:val="singleLevel"/>
    <w:tmpl w:val="140A3C4A"/>
    <w:lvl w:ilvl="0" w:tentative="0">
      <w:start w:val="1"/>
      <w:numFmt w:val="decimal"/>
      <w:suff w:val="nothing"/>
      <w:lvlText w:val="%1）"/>
      <w:lvlJc w:val="left"/>
      <w:pPr>
        <w:tabs>
          <w:tab w:val="left" w:pos="0"/>
        </w:tabs>
      </w:pPr>
      <w:rPr>
        <w:rFonts w:hint="default"/>
      </w:rPr>
    </w:lvl>
  </w:abstractNum>
  <w:abstractNum w:abstractNumId="27">
    <w:nsid w:val="1B858E15"/>
    <w:multiLevelType w:val="singleLevel"/>
    <w:tmpl w:val="1B858E15"/>
    <w:lvl w:ilvl="0" w:tentative="0">
      <w:start w:val="1"/>
      <w:numFmt w:val="decimal"/>
      <w:suff w:val="nothing"/>
      <w:lvlText w:val="%1）"/>
      <w:lvlJc w:val="left"/>
      <w:pPr>
        <w:tabs>
          <w:tab w:val="left" w:pos="0"/>
        </w:tabs>
      </w:pPr>
      <w:rPr>
        <w:rFonts w:hint="default"/>
      </w:rPr>
    </w:lvl>
  </w:abstractNum>
  <w:abstractNum w:abstractNumId="28">
    <w:nsid w:val="1E090C7E"/>
    <w:multiLevelType w:val="singleLevel"/>
    <w:tmpl w:val="1E090C7E"/>
    <w:lvl w:ilvl="0" w:tentative="0">
      <w:start w:val="1"/>
      <w:numFmt w:val="decimal"/>
      <w:suff w:val="nothing"/>
      <w:lvlText w:val="%1）"/>
      <w:lvlJc w:val="left"/>
      <w:pPr>
        <w:tabs>
          <w:tab w:val="left" w:pos="0"/>
        </w:tabs>
      </w:pPr>
      <w:rPr>
        <w:rFonts w:hint="default"/>
      </w:rPr>
    </w:lvl>
  </w:abstractNum>
  <w:abstractNum w:abstractNumId="29">
    <w:nsid w:val="2E446568"/>
    <w:multiLevelType w:val="singleLevel"/>
    <w:tmpl w:val="2E446568"/>
    <w:lvl w:ilvl="0" w:tentative="0">
      <w:start w:val="1"/>
      <w:numFmt w:val="decimal"/>
      <w:suff w:val="nothing"/>
      <w:lvlText w:val="%1）"/>
      <w:lvlJc w:val="left"/>
      <w:pPr>
        <w:tabs>
          <w:tab w:val="left" w:pos="0"/>
        </w:tabs>
      </w:pPr>
      <w:rPr>
        <w:rFonts w:hint="default"/>
      </w:rPr>
    </w:lvl>
  </w:abstractNum>
  <w:abstractNum w:abstractNumId="30">
    <w:nsid w:val="2E5A1A16"/>
    <w:multiLevelType w:val="singleLevel"/>
    <w:tmpl w:val="2E5A1A16"/>
    <w:lvl w:ilvl="0" w:tentative="0">
      <w:start w:val="1"/>
      <w:numFmt w:val="decimal"/>
      <w:suff w:val="nothing"/>
      <w:lvlText w:val="%1）"/>
      <w:lvlJc w:val="left"/>
      <w:pPr>
        <w:tabs>
          <w:tab w:val="left" w:pos="0"/>
        </w:tabs>
      </w:pPr>
      <w:rPr>
        <w:rFonts w:hint="default"/>
      </w:rPr>
    </w:lvl>
  </w:abstractNum>
  <w:abstractNum w:abstractNumId="31">
    <w:nsid w:val="375EED8C"/>
    <w:multiLevelType w:val="singleLevel"/>
    <w:tmpl w:val="375EED8C"/>
    <w:lvl w:ilvl="0" w:tentative="0">
      <w:start w:val="1"/>
      <w:numFmt w:val="decimal"/>
      <w:suff w:val="space"/>
      <w:lvlText w:val=" %1"/>
      <w:lvlJc w:val="left"/>
      <w:pPr>
        <w:tabs>
          <w:tab w:val="left" w:pos="420"/>
        </w:tabs>
        <w:ind w:firstLine="327"/>
      </w:pPr>
      <w:rPr>
        <w:rFonts w:hint="default" w:ascii="宋体" w:hAnsi="宋体" w:eastAsia="宋体" w:cs="宋体"/>
      </w:rPr>
    </w:lvl>
  </w:abstractNum>
  <w:abstractNum w:abstractNumId="32">
    <w:nsid w:val="380E3BAD"/>
    <w:multiLevelType w:val="multilevel"/>
    <w:tmpl w:val="380E3BAD"/>
    <w:lvl w:ilvl="0" w:tentative="0">
      <w:start w:val="1"/>
      <w:numFmt w:val="decimal"/>
      <w:lvlText w:val="（%1）"/>
      <w:lvlJc w:val="left"/>
      <w:pPr>
        <w:ind w:left="960" w:hanging="720"/>
      </w:pPr>
      <w:rPr>
        <w:rFonts w:hint="default"/>
      </w:r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33">
    <w:nsid w:val="45D37645"/>
    <w:multiLevelType w:val="multilevel"/>
    <w:tmpl w:val="45D37645"/>
    <w:lvl w:ilvl="0" w:tentative="0">
      <w:start w:val="1"/>
      <w:numFmt w:val="decimal"/>
      <w:lvlText w:val="%1"/>
      <w:lvlJc w:val="left"/>
      <w:pPr>
        <w:ind w:left="600" w:hanging="600"/>
      </w:pPr>
      <w:rPr>
        <w:rFonts w:hint="default"/>
      </w:rPr>
    </w:lvl>
    <w:lvl w:ilvl="1" w:tentative="0">
      <w:start w:val="0"/>
      <w:numFmt w:val="decimal"/>
      <w:lvlText w:val="%1.%2"/>
      <w:lvlJc w:val="left"/>
      <w:pPr>
        <w:ind w:left="600" w:hanging="600"/>
      </w:pPr>
      <w:rPr>
        <w:rFonts w:hint="default"/>
      </w:rPr>
    </w:lvl>
    <w:lvl w:ilvl="2" w:tentative="0">
      <w:start w:val="1"/>
      <w:numFmt w:val="decimal"/>
      <w:suff w:val="space"/>
      <w:lvlText w:val="%1.%2.%3"/>
      <w:lvlJc w:val="left"/>
      <w:pPr>
        <w:ind w:left="720" w:hanging="720"/>
      </w:pPr>
      <w:rPr>
        <w:rFonts w:hint="default"/>
        <w:b/>
        <w:bCs/>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34">
    <w:nsid w:val="4E854CF5"/>
    <w:multiLevelType w:val="singleLevel"/>
    <w:tmpl w:val="4E854CF5"/>
    <w:lvl w:ilvl="0" w:tentative="0">
      <w:start w:val="1"/>
      <w:numFmt w:val="decimal"/>
      <w:suff w:val="nothing"/>
      <w:lvlText w:val="%1）"/>
      <w:lvlJc w:val="left"/>
      <w:pPr>
        <w:tabs>
          <w:tab w:val="left" w:pos="0"/>
        </w:tabs>
      </w:pPr>
      <w:rPr>
        <w:rFonts w:hint="default"/>
      </w:rPr>
    </w:lvl>
  </w:abstractNum>
  <w:abstractNum w:abstractNumId="35">
    <w:nsid w:val="4E995B31"/>
    <w:multiLevelType w:val="singleLevel"/>
    <w:tmpl w:val="4E995B31"/>
    <w:lvl w:ilvl="0" w:tentative="0">
      <w:start w:val="1"/>
      <w:numFmt w:val="decimal"/>
      <w:suff w:val="nothing"/>
      <w:lvlText w:val="%1）"/>
      <w:lvlJc w:val="left"/>
      <w:pPr>
        <w:tabs>
          <w:tab w:val="left" w:pos="0"/>
        </w:tabs>
      </w:pPr>
      <w:rPr>
        <w:rFonts w:hint="default"/>
      </w:rPr>
    </w:lvl>
  </w:abstractNum>
  <w:abstractNum w:abstractNumId="36">
    <w:nsid w:val="52F15760"/>
    <w:multiLevelType w:val="singleLevel"/>
    <w:tmpl w:val="52F15760"/>
    <w:lvl w:ilvl="0" w:tentative="0">
      <w:start w:val="1"/>
      <w:numFmt w:val="decimal"/>
      <w:suff w:val="space"/>
      <w:lvlText w:val=" %1"/>
      <w:lvlJc w:val="left"/>
      <w:pPr>
        <w:tabs>
          <w:tab w:val="left" w:pos="420"/>
        </w:tabs>
        <w:ind w:firstLine="327"/>
      </w:pPr>
      <w:rPr>
        <w:rFonts w:hint="default" w:ascii="宋体" w:hAnsi="宋体" w:eastAsia="宋体" w:cs="宋体"/>
      </w:rPr>
    </w:lvl>
  </w:abstractNum>
  <w:abstractNum w:abstractNumId="37">
    <w:nsid w:val="563DBC6D"/>
    <w:multiLevelType w:val="singleLevel"/>
    <w:tmpl w:val="563DBC6D"/>
    <w:lvl w:ilvl="0" w:tentative="0">
      <w:start w:val="1"/>
      <w:numFmt w:val="decimal"/>
      <w:suff w:val="nothing"/>
      <w:lvlText w:val="%1）"/>
      <w:lvlJc w:val="left"/>
      <w:pPr>
        <w:tabs>
          <w:tab w:val="left" w:pos="0"/>
        </w:tabs>
      </w:pPr>
      <w:rPr>
        <w:rFonts w:hint="default"/>
      </w:rPr>
    </w:lvl>
  </w:abstractNum>
  <w:abstractNum w:abstractNumId="38">
    <w:nsid w:val="564C2646"/>
    <w:multiLevelType w:val="singleLevel"/>
    <w:tmpl w:val="564C2646"/>
    <w:lvl w:ilvl="0" w:tentative="0">
      <w:start w:val="1"/>
      <w:numFmt w:val="decimal"/>
      <w:suff w:val="nothing"/>
      <w:lvlText w:val="%1）"/>
      <w:lvlJc w:val="left"/>
      <w:pPr>
        <w:tabs>
          <w:tab w:val="left" w:pos="0"/>
        </w:tabs>
      </w:pPr>
      <w:rPr>
        <w:rFonts w:hint="default"/>
      </w:rPr>
    </w:lvl>
  </w:abstractNum>
  <w:abstractNum w:abstractNumId="39">
    <w:nsid w:val="5D52D02F"/>
    <w:multiLevelType w:val="singleLevel"/>
    <w:tmpl w:val="5D52D02F"/>
    <w:lvl w:ilvl="0" w:tentative="0">
      <w:start w:val="1"/>
      <w:numFmt w:val="decimal"/>
      <w:suff w:val="nothing"/>
      <w:lvlText w:val="%1）"/>
      <w:lvlJc w:val="left"/>
      <w:pPr>
        <w:tabs>
          <w:tab w:val="left" w:pos="0"/>
        </w:tabs>
      </w:pPr>
      <w:rPr>
        <w:rFonts w:hint="default"/>
      </w:rPr>
    </w:lvl>
  </w:abstractNum>
  <w:abstractNum w:abstractNumId="40">
    <w:nsid w:val="5D6C68B4"/>
    <w:multiLevelType w:val="singleLevel"/>
    <w:tmpl w:val="5D6C68B4"/>
    <w:lvl w:ilvl="0" w:tentative="0">
      <w:start w:val="1"/>
      <w:numFmt w:val="decimal"/>
      <w:suff w:val="nothing"/>
      <w:lvlText w:val="%1）"/>
      <w:lvlJc w:val="left"/>
      <w:pPr>
        <w:tabs>
          <w:tab w:val="left" w:pos="0"/>
        </w:tabs>
      </w:pPr>
      <w:rPr>
        <w:rFonts w:hint="default"/>
      </w:rPr>
    </w:lvl>
  </w:abstractNum>
  <w:abstractNum w:abstractNumId="41">
    <w:nsid w:val="60B55DC2"/>
    <w:multiLevelType w:val="multilevel"/>
    <w:tmpl w:val="60B55DC2"/>
    <w:lvl w:ilvl="0" w:tentative="0">
      <w:start w:val="1"/>
      <w:numFmt w:val="upperLetter"/>
      <w:pStyle w:val="54"/>
      <w:lvlText w:val="%1"/>
      <w:lvlJc w:val="left"/>
      <w:pPr>
        <w:tabs>
          <w:tab w:val="left" w:pos="0"/>
        </w:tabs>
        <w:ind w:left="0" w:hanging="425"/>
      </w:pPr>
      <w:rPr>
        <w:rFonts w:hint="eastAsia"/>
      </w:rPr>
    </w:lvl>
    <w:lvl w:ilvl="1" w:tentative="0">
      <w:start w:val="1"/>
      <w:numFmt w:val="decimal"/>
      <w:pStyle w:val="55"/>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42">
    <w:nsid w:val="66CC9F3A"/>
    <w:multiLevelType w:val="singleLevel"/>
    <w:tmpl w:val="66CC9F3A"/>
    <w:lvl w:ilvl="0" w:tentative="0">
      <w:start w:val="1"/>
      <w:numFmt w:val="decimal"/>
      <w:suff w:val="space"/>
      <w:lvlText w:val=" %1"/>
      <w:lvlJc w:val="left"/>
      <w:pPr>
        <w:tabs>
          <w:tab w:val="left" w:pos="420"/>
        </w:tabs>
        <w:ind w:firstLine="327"/>
      </w:pPr>
      <w:rPr>
        <w:rFonts w:hint="default" w:ascii="宋体" w:hAnsi="宋体" w:eastAsia="宋体" w:cs="宋体"/>
      </w:rPr>
    </w:lvl>
  </w:abstractNum>
  <w:abstractNum w:abstractNumId="43">
    <w:nsid w:val="6ADA7D05"/>
    <w:multiLevelType w:val="multilevel"/>
    <w:tmpl w:val="6ADA7D05"/>
    <w:lvl w:ilvl="0" w:tentative="0">
      <w:start w:val="1"/>
      <w:numFmt w:val="decimal"/>
      <w:pStyle w:val="2"/>
      <w:suff w:val="space"/>
      <w:lvlText w:val="%1"/>
      <w:lvlJc w:val="left"/>
      <w:pPr>
        <w:ind w:left="0" w:firstLine="0"/>
      </w:pPr>
      <w:rPr>
        <w:rFonts w:hint="default"/>
      </w:rPr>
    </w:lvl>
    <w:lvl w:ilvl="1" w:tentative="0">
      <w:start w:val="1"/>
      <w:numFmt w:val="decimal"/>
      <w:pStyle w:val="3"/>
      <w:suff w:val="space"/>
      <w:lvlText w:val="%1.%2"/>
      <w:lvlJc w:val="left"/>
      <w:pPr>
        <w:ind w:left="142" w:firstLine="0"/>
      </w:pPr>
      <w:rPr>
        <w:rFonts w:hint="default"/>
      </w:rPr>
    </w:lvl>
    <w:lvl w:ilvl="2" w:tentative="0">
      <w:start w:val="1"/>
      <w:numFmt w:val="decimal"/>
      <w:pStyle w:val="4"/>
      <w:suff w:val="space"/>
      <w:lvlText w:val="%1.%2.%3"/>
      <w:lvlJc w:val="left"/>
      <w:pPr>
        <w:ind w:left="0" w:firstLine="0"/>
      </w:pPr>
      <w:rPr>
        <w:rFonts w:hint="default"/>
        <w:b/>
        <w:bCs w:val="0"/>
        <w:strike w:val="0"/>
      </w:rPr>
    </w:lvl>
    <w:lvl w:ilvl="3" w:tentative="0">
      <w:start w:val="1"/>
      <w:numFmt w:val="decimal"/>
      <w:pStyle w:val="5"/>
      <w:suff w:val="space"/>
      <w:lvlText w:val="%1.%2.%3.%4"/>
      <w:lvlJc w:val="left"/>
      <w:pPr>
        <w:ind w:left="0" w:firstLine="0"/>
      </w:pPr>
      <w:rPr>
        <w:rFonts w:hint="default"/>
        <w:b/>
        <w:bCs w:val="0"/>
      </w:rPr>
    </w:lvl>
    <w:lvl w:ilvl="4" w:tentative="0">
      <w:start w:val="1"/>
      <w:numFmt w:val="decimal"/>
      <w:lvlText w:val="%1.%2.%3.%4.%5"/>
      <w:lvlJc w:val="left"/>
      <w:pPr>
        <w:ind w:left="0" w:firstLine="0"/>
      </w:pPr>
      <w:rPr>
        <w:rFonts w:hint="default"/>
      </w:rPr>
    </w:lvl>
    <w:lvl w:ilvl="5" w:tentative="0">
      <w:start w:val="1"/>
      <w:numFmt w:val="decimal"/>
      <w:lvlText w:val="%1.%2.%3.%4.%5.%6"/>
      <w:lvlJc w:val="left"/>
      <w:pPr>
        <w:ind w:left="0" w:firstLine="0"/>
      </w:pPr>
      <w:rPr>
        <w:rFonts w:hint="default"/>
      </w:rPr>
    </w:lvl>
    <w:lvl w:ilvl="6" w:tentative="0">
      <w:start w:val="1"/>
      <w:numFmt w:val="decimal"/>
      <w:lvlText w:val="%1.%2.%3.%4.%5.%6.%7"/>
      <w:lvlJc w:val="left"/>
      <w:pPr>
        <w:ind w:left="0" w:firstLine="0"/>
      </w:pPr>
      <w:rPr>
        <w:rFonts w:hint="default"/>
      </w:rPr>
    </w:lvl>
    <w:lvl w:ilvl="7" w:tentative="0">
      <w:start w:val="1"/>
      <w:numFmt w:val="decimal"/>
      <w:lvlText w:val="%1.%2.%3.%4.%5.%6.%7.%8"/>
      <w:lvlJc w:val="left"/>
      <w:pPr>
        <w:ind w:left="0" w:firstLine="0"/>
      </w:pPr>
      <w:rPr>
        <w:rFonts w:hint="default"/>
      </w:rPr>
    </w:lvl>
    <w:lvl w:ilvl="8" w:tentative="0">
      <w:start w:val="1"/>
      <w:numFmt w:val="decimal"/>
      <w:lvlText w:val="%1.%2.%3.%4.%5.%6.%7.%8.%9"/>
      <w:lvlJc w:val="left"/>
      <w:pPr>
        <w:ind w:left="0" w:firstLine="0"/>
      </w:pPr>
      <w:rPr>
        <w:rFonts w:hint="default"/>
      </w:rPr>
    </w:lvl>
  </w:abstractNum>
  <w:abstractNum w:abstractNumId="44">
    <w:nsid w:val="6FD87C26"/>
    <w:multiLevelType w:val="singleLevel"/>
    <w:tmpl w:val="6FD87C26"/>
    <w:lvl w:ilvl="0" w:tentative="0">
      <w:start w:val="1"/>
      <w:numFmt w:val="decimal"/>
      <w:suff w:val="space"/>
      <w:lvlText w:val=" %1"/>
      <w:lvlJc w:val="left"/>
      <w:pPr>
        <w:tabs>
          <w:tab w:val="left" w:pos="420"/>
        </w:tabs>
        <w:ind w:firstLine="327"/>
      </w:pPr>
      <w:rPr>
        <w:rFonts w:hint="default" w:ascii="宋体" w:hAnsi="宋体" w:eastAsia="宋体" w:cs="宋体"/>
      </w:rPr>
    </w:lvl>
  </w:abstractNum>
  <w:abstractNum w:abstractNumId="45">
    <w:nsid w:val="77B9BBD4"/>
    <w:multiLevelType w:val="singleLevel"/>
    <w:tmpl w:val="77B9BBD4"/>
    <w:lvl w:ilvl="0" w:tentative="0">
      <w:start w:val="1"/>
      <w:numFmt w:val="decimal"/>
      <w:suff w:val="space"/>
      <w:lvlText w:val=" %1"/>
      <w:lvlJc w:val="left"/>
      <w:pPr>
        <w:tabs>
          <w:tab w:val="left" w:pos="420"/>
        </w:tabs>
        <w:ind w:firstLine="327"/>
      </w:pPr>
      <w:rPr>
        <w:rFonts w:hint="default" w:ascii="宋体" w:hAnsi="宋体" w:eastAsia="宋体" w:cs="宋体"/>
      </w:rPr>
    </w:lvl>
  </w:abstractNum>
  <w:num w:numId="1">
    <w:abstractNumId w:val="43"/>
  </w:num>
  <w:num w:numId="2">
    <w:abstractNumId w:val="41"/>
  </w:num>
  <w:num w:numId="3">
    <w:abstractNumId w:val="33"/>
  </w:num>
  <w:num w:numId="4">
    <w:abstractNumId w:val="36"/>
  </w:num>
  <w:num w:numId="5">
    <w:abstractNumId w:val="37"/>
  </w:num>
  <w:num w:numId="6">
    <w:abstractNumId w:val="26"/>
  </w:num>
  <w:num w:numId="7">
    <w:abstractNumId w:val="25"/>
  </w:num>
  <w:num w:numId="8">
    <w:abstractNumId w:val="20"/>
  </w:num>
  <w:num w:numId="9">
    <w:abstractNumId w:val="30"/>
  </w:num>
  <w:num w:numId="10">
    <w:abstractNumId w:val="17"/>
  </w:num>
  <w:num w:numId="11">
    <w:abstractNumId w:val="7"/>
  </w:num>
  <w:num w:numId="12">
    <w:abstractNumId w:val="24"/>
  </w:num>
  <w:num w:numId="13">
    <w:abstractNumId w:val="4"/>
  </w:num>
  <w:num w:numId="14">
    <w:abstractNumId w:val="22"/>
  </w:num>
  <w:num w:numId="15">
    <w:abstractNumId w:val="18"/>
  </w:num>
  <w:num w:numId="16">
    <w:abstractNumId w:val="39"/>
  </w:num>
  <w:num w:numId="17">
    <w:abstractNumId w:val="3"/>
  </w:num>
  <w:num w:numId="18">
    <w:abstractNumId w:val="35"/>
  </w:num>
  <w:num w:numId="19">
    <w:abstractNumId w:val="44"/>
  </w:num>
  <w:num w:numId="20">
    <w:abstractNumId w:val="6"/>
  </w:num>
  <w:num w:numId="21">
    <w:abstractNumId w:val="15"/>
  </w:num>
  <w:num w:numId="22">
    <w:abstractNumId w:val="12"/>
  </w:num>
  <w:num w:numId="23">
    <w:abstractNumId w:val="40"/>
  </w:num>
  <w:num w:numId="24">
    <w:abstractNumId w:val="8"/>
  </w:num>
  <w:num w:numId="25">
    <w:abstractNumId w:val="23"/>
  </w:num>
  <w:num w:numId="26">
    <w:abstractNumId w:val="21"/>
  </w:num>
  <w:num w:numId="27">
    <w:abstractNumId w:val="0"/>
  </w:num>
  <w:num w:numId="28">
    <w:abstractNumId w:val="42"/>
  </w:num>
  <w:num w:numId="29">
    <w:abstractNumId w:val="16"/>
  </w:num>
  <w:num w:numId="30">
    <w:abstractNumId w:val="19"/>
  </w:num>
  <w:num w:numId="31">
    <w:abstractNumId w:val="28"/>
  </w:num>
  <w:num w:numId="32">
    <w:abstractNumId w:val="9"/>
  </w:num>
  <w:num w:numId="33">
    <w:abstractNumId w:val="31"/>
  </w:num>
  <w:num w:numId="34">
    <w:abstractNumId w:val="14"/>
  </w:num>
  <w:num w:numId="35">
    <w:abstractNumId w:val="29"/>
  </w:num>
  <w:num w:numId="36">
    <w:abstractNumId w:val="2"/>
  </w:num>
  <w:num w:numId="37">
    <w:abstractNumId w:val="10"/>
  </w:num>
  <w:num w:numId="38">
    <w:abstractNumId w:val="11"/>
  </w:num>
  <w:num w:numId="39">
    <w:abstractNumId w:val="45"/>
  </w:num>
  <w:num w:numId="40">
    <w:abstractNumId w:val="34"/>
  </w:num>
  <w:num w:numId="41">
    <w:abstractNumId w:val="1"/>
  </w:num>
  <w:num w:numId="42">
    <w:abstractNumId w:val="27"/>
  </w:num>
  <w:num w:numId="43">
    <w:abstractNumId w:val="5"/>
  </w:num>
  <w:num w:numId="44">
    <w:abstractNumId w:val="13"/>
  </w:num>
  <w:num w:numId="45">
    <w:abstractNumId w:val="38"/>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FlZTE2YjA5MzVlYzIzMjAyNTY3MmNlZmQ4Njc1NTcifQ=="/>
  </w:docVars>
  <w:rsids>
    <w:rsidRoot w:val="00B122DA"/>
    <w:rsid w:val="00000BC9"/>
    <w:rsid w:val="00000E37"/>
    <w:rsid w:val="00002615"/>
    <w:rsid w:val="00007027"/>
    <w:rsid w:val="000070A0"/>
    <w:rsid w:val="00014CBA"/>
    <w:rsid w:val="0001680C"/>
    <w:rsid w:val="0001761B"/>
    <w:rsid w:val="00033E4E"/>
    <w:rsid w:val="00044D43"/>
    <w:rsid w:val="000465EB"/>
    <w:rsid w:val="00047B77"/>
    <w:rsid w:val="0005452D"/>
    <w:rsid w:val="00066F33"/>
    <w:rsid w:val="00073142"/>
    <w:rsid w:val="00074C6F"/>
    <w:rsid w:val="00081483"/>
    <w:rsid w:val="00081EDA"/>
    <w:rsid w:val="000829F1"/>
    <w:rsid w:val="000851C5"/>
    <w:rsid w:val="00090577"/>
    <w:rsid w:val="00096C85"/>
    <w:rsid w:val="00096EDE"/>
    <w:rsid w:val="000A24E2"/>
    <w:rsid w:val="000A304E"/>
    <w:rsid w:val="000A33EA"/>
    <w:rsid w:val="000A5306"/>
    <w:rsid w:val="000A65FA"/>
    <w:rsid w:val="000B22E6"/>
    <w:rsid w:val="000B2869"/>
    <w:rsid w:val="000C15AD"/>
    <w:rsid w:val="000C5E0A"/>
    <w:rsid w:val="000D2A35"/>
    <w:rsid w:val="000E2FF9"/>
    <w:rsid w:val="000E46BD"/>
    <w:rsid w:val="000E6020"/>
    <w:rsid w:val="000F3C23"/>
    <w:rsid w:val="000F40D4"/>
    <w:rsid w:val="000F78E9"/>
    <w:rsid w:val="000F7BEC"/>
    <w:rsid w:val="00100EC5"/>
    <w:rsid w:val="00111862"/>
    <w:rsid w:val="001235D1"/>
    <w:rsid w:val="00131877"/>
    <w:rsid w:val="00131D5E"/>
    <w:rsid w:val="0013500E"/>
    <w:rsid w:val="00140868"/>
    <w:rsid w:val="00142A6D"/>
    <w:rsid w:val="00153B90"/>
    <w:rsid w:val="00160F72"/>
    <w:rsid w:val="00162015"/>
    <w:rsid w:val="001642C0"/>
    <w:rsid w:val="00165FE7"/>
    <w:rsid w:val="001663EF"/>
    <w:rsid w:val="00167257"/>
    <w:rsid w:val="00194A25"/>
    <w:rsid w:val="00195541"/>
    <w:rsid w:val="001A0F9A"/>
    <w:rsid w:val="001A1EFD"/>
    <w:rsid w:val="001A6265"/>
    <w:rsid w:val="001B6F21"/>
    <w:rsid w:val="001C2487"/>
    <w:rsid w:val="001D0B42"/>
    <w:rsid w:val="001D3179"/>
    <w:rsid w:val="001D37C1"/>
    <w:rsid w:val="001D7045"/>
    <w:rsid w:val="001E7DBE"/>
    <w:rsid w:val="001F22D9"/>
    <w:rsid w:val="001F2A39"/>
    <w:rsid w:val="001F31B8"/>
    <w:rsid w:val="001F32CD"/>
    <w:rsid w:val="001F5078"/>
    <w:rsid w:val="0020416A"/>
    <w:rsid w:val="00206D6E"/>
    <w:rsid w:val="00213CB4"/>
    <w:rsid w:val="002207A7"/>
    <w:rsid w:val="00220823"/>
    <w:rsid w:val="00234BF2"/>
    <w:rsid w:val="00237D87"/>
    <w:rsid w:val="002551E1"/>
    <w:rsid w:val="002568B4"/>
    <w:rsid w:val="0026059D"/>
    <w:rsid w:val="00264339"/>
    <w:rsid w:val="002669E4"/>
    <w:rsid w:val="00274D71"/>
    <w:rsid w:val="00277719"/>
    <w:rsid w:val="00277809"/>
    <w:rsid w:val="00290CD3"/>
    <w:rsid w:val="0029204F"/>
    <w:rsid w:val="00293E63"/>
    <w:rsid w:val="002A3D5B"/>
    <w:rsid w:val="002B2714"/>
    <w:rsid w:val="002B682D"/>
    <w:rsid w:val="002B7952"/>
    <w:rsid w:val="002B7B5D"/>
    <w:rsid w:val="002C017F"/>
    <w:rsid w:val="002C32FD"/>
    <w:rsid w:val="002C7BDC"/>
    <w:rsid w:val="002D7018"/>
    <w:rsid w:val="002E1705"/>
    <w:rsid w:val="002E7F00"/>
    <w:rsid w:val="002F14C6"/>
    <w:rsid w:val="002F1769"/>
    <w:rsid w:val="002F2E83"/>
    <w:rsid w:val="002F57E2"/>
    <w:rsid w:val="003010EE"/>
    <w:rsid w:val="00302C5B"/>
    <w:rsid w:val="00302E8C"/>
    <w:rsid w:val="00302F22"/>
    <w:rsid w:val="003046DE"/>
    <w:rsid w:val="003113C4"/>
    <w:rsid w:val="00314A4A"/>
    <w:rsid w:val="00314C74"/>
    <w:rsid w:val="00323897"/>
    <w:rsid w:val="00326CE7"/>
    <w:rsid w:val="003312AF"/>
    <w:rsid w:val="00332C6A"/>
    <w:rsid w:val="00333668"/>
    <w:rsid w:val="00336B81"/>
    <w:rsid w:val="00340209"/>
    <w:rsid w:val="00350698"/>
    <w:rsid w:val="003545D1"/>
    <w:rsid w:val="003713F5"/>
    <w:rsid w:val="003764EB"/>
    <w:rsid w:val="00382DCE"/>
    <w:rsid w:val="00386D0C"/>
    <w:rsid w:val="00392117"/>
    <w:rsid w:val="003A0938"/>
    <w:rsid w:val="003A708B"/>
    <w:rsid w:val="003B3281"/>
    <w:rsid w:val="003B4550"/>
    <w:rsid w:val="003B5389"/>
    <w:rsid w:val="003B5A4C"/>
    <w:rsid w:val="003C20EA"/>
    <w:rsid w:val="003C48D7"/>
    <w:rsid w:val="003D17E5"/>
    <w:rsid w:val="003D17ED"/>
    <w:rsid w:val="003D3D69"/>
    <w:rsid w:val="003D40C2"/>
    <w:rsid w:val="003E312A"/>
    <w:rsid w:val="003F03BD"/>
    <w:rsid w:val="003F39D0"/>
    <w:rsid w:val="003F43E4"/>
    <w:rsid w:val="003F52F1"/>
    <w:rsid w:val="0040111E"/>
    <w:rsid w:val="004054AC"/>
    <w:rsid w:val="004103C6"/>
    <w:rsid w:val="00412942"/>
    <w:rsid w:val="00425484"/>
    <w:rsid w:val="004343AC"/>
    <w:rsid w:val="00436822"/>
    <w:rsid w:val="00451472"/>
    <w:rsid w:val="00457B73"/>
    <w:rsid w:val="0046002D"/>
    <w:rsid w:val="00470E5F"/>
    <w:rsid w:val="004717B1"/>
    <w:rsid w:val="00473644"/>
    <w:rsid w:val="00474FD7"/>
    <w:rsid w:val="00480F53"/>
    <w:rsid w:val="00482733"/>
    <w:rsid w:val="00482BEB"/>
    <w:rsid w:val="00491C9C"/>
    <w:rsid w:val="004A07DF"/>
    <w:rsid w:val="004A3EEA"/>
    <w:rsid w:val="004A6E76"/>
    <w:rsid w:val="004B11AB"/>
    <w:rsid w:val="004B294B"/>
    <w:rsid w:val="004B2E6D"/>
    <w:rsid w:val="004B395B"/>
    <w:rsid w:val="004B3F6A"/>
    <w:rsid w:val="004C1713"/>
    <w:rsid w:val="004C49E3"/>
    <w:rsid w:val="004D5FF7"/>
    <w:rsid w:val="004D7A00"/>
    <w:rsid w:val="004E7262"/>
    <w:rsid w:val="004F3C94"/>
    <w:rsid w:val="00511F62"/>
    <w:rsid w:val="00513B2D"/>
    <w:rsid w:val="00514DE3"/>
    <w:rsid w:val="005152FC"/>
    <w:rsid w:val="00534D0F"/>
    <w:rsid w:val="00536FD3"/>
    <w:rsid w:val="0053798D"/>
    <w:rsid w:val="00550B7B"/>
    <w:rsid w:val="00551F45"/>
    <w:rsid w:val="00553C39"/>
    <w:rsid w:val="00555C34"/>
    <w:rsid w:val="005569E9"/>
    <w:rsid w:val="00571E23"/>
    <w:rsid w:val="00572D2F"/>
    <w:rsid w:val="005743E0"/>
    <w:rsid w:val="00580540"/>
    <w:rsid w:val="00587EB7"/>
    <w:rsid w:val="00590DB4"/>
    <w:rsid w:val="005950E9"/>
    <w:rsid w:val="00596C71"/>
    <w:rsid w:val="005A2EB4"/>
    <w:rsid w:val="005A77A8"/>
    <w:rsid w:val="005B01EB"/>
    <w:rsid w:val="005B0AF1"/>
    <w:rsid w:val="005D26D3"/>
    <w:rsid w:val="005D39B2"/>
    <w:rsid w:val="005D7F5F"/>
    <w:rsid w:val="005E03E7"/>
    <w:rsid w:val="005E2681"/>
    <w:rsid w:val="006006E9"/>
    <w:rsid w:val="006067C4"/>
    <w:rsid w:val="00606DBF"/>
    <w:rsid w:val="00612910"/>
    <w:rsid w:val="00626914"/>
    <w:rsid w:val="00627475"/>
    <w:rsid w:val="00631AA8"/>
    <w:rsid w:val="006326EA"/>
    <w:rsid w:val="00644CE8"/>
    <w:rsid w:val="00646E8F"/>
    <w:rsid w:val="00647769"/>
    <w:rsid w:val="006511AE"/>
    <w:rsid w:val="00651D79"/>
    <w:rsid w:val="006553A2"/>
    <w:rsid w:val="00656F08"/>
    <w:rsid w:val="00664063"/>
    <w:rsid w:val="00666D83"/>
    <w:rsid w:val="006718CF"/>
    <w:rsid w:val="00681A15"/>
    <w:rsid w:val="00682A1A"/>
    <w:rsid w:val="006A0A34"/>
    <w:rsid w:val="006A4930"/>
    <w:rsid w:val="006A4EA4"/>
    <w:rsid w:val="006A7959"/>
    <w:rsid w:val="006B179F"/>
    <w:rsid w:val="006B3176"/>
    <w:rsid w:val="006B4C7D"/>
    <w:rsid w:val="006B68F2"/>
    <w:rsid w:val="006C18EE"/>
    <w:rsid w:val="006C77F2"/>
    <w:rsid w:val="006D0440"/>
    <w:rsid w:val="006E24C3"/>
    <w:rsid w:val="006E483C"/>
    <w:rsid w:val="006E5BC0"/>
    <w:rsid w:val="006E7264"/>
    <w:rsid w:val="00700218"/>
    <w:rsid w:val="00702F2C"/>
    <w:rsid w:val="00703D6C"/>
    <w:rsid w:val="007138C1"/>
    <w:rsid w:val="0072287D"/>
    <w:rsid w:val="00724B90"/>
    <w:rsid w:val="00725AB5"/>
    <w:rsid w:val="007271CD"/>
    <w:rsid w:val="00731A17"/>
    <w:rsid w:val="00732F89"/>
    <w:rsid w:val="00740B30"/>
    <w:rsid w:val="00760709"/>
    <w:rsid w:val="007617A7"/>
    <w:rsid w:val="00761A6C"/>
    <w:rsid w:val="00763C78"/>
    <w:rsid w:val="007746F7"/>
    <w:rsid w:val="0078777C"/>
    <w:rsid w:val="00791FAC"/>
    <w:rsid w:val="00793106"/>
    <w:rsid w:val="00794B86"/>
    <w:rsid w:val="007A2877"/>
    <w:rsid w:val="007B085F"/>
    <w:rsid w:val="007B3CD6"/>
    <w:rsid w:val="007B3E8D"/>
    <w:rsid w:val="007B419C"/>
    <w:rsid w:val="007B5E41"/>
    <w:rsid w:val="007D154E"/>
    <w:rsid w:val="007D2EC6"/>
    <w:rsid w:val="007D46DD"/>
    <w:rsid w:val="007D54C7"/>
    <w:rsid w:val="007F20B4"/>
    <w:rsid w:val="007F512A"/>
    <w:rsid w:val="007F6132"/>
    <w:rsid w:val="007F6F6D"/>
    <w:rsid w:val="007F7E0E"/>
    <w:rsid w:val="007F7FF4"/>
    <w:rsid w:val="00800369"/>
    <w:rsid w:val="00800D36"/>
    <w:rsid w:val="00813757"/>
    <w:rsid w:val="0082671B"/>
    <w:rsid w:val="008269BD"/>
    <w:rsid w:val="008403AC"/>
    <w:rsid w:val="00840CDB"/>
    <w:rsid w:val="00841368"/>
    <w:rsid w:val="008434E6"/>
    <w:rsid w:val="008466E3"/>
    <w:rsid w:val="0085181E"/>
    <w:rsid w:val="00853366"/>
    <w:rsid w:val="008623F3"/>
    <w:rsid w:val="008676BA"/>
    <w:rsid w:val="00870A3C"/>
    <w:rsid w:val="00874E9B"/>
    <w:rsid w:val="00883163"/>
    <w:rsid w:val="00885ED8"/>
    <w:rsid w:val="00886336"/>
    <w:rsid w:val="008876A5"/>
    <w:rsid w:val="00887C3F"/>
    <w:rsid w:val="008A491B"/>
    <w:rsid w:val="008B1E35"/>
    <w:rsid w:val="008C2071"/>
    <w:rsid w:val="008C5936"/>
    <w:rsid w:val="008D4F4B"/>
    <w:rsid w:val="008D5FEB"/>
    <w:rsid w:val="008E1BB8"/>
    <w:rsid w:val="008F2258"/>
    <w:rsid w:val="008F3DED"/>
    <w:rsid w:val="008F5F85"/>
    <w:rsid w:val="0090518F"/>
    <w:rsid w:val="00911F5A"/>
    <w:rsid w:val="00920629"/>
    <w:rsid w:val="00921B33"/>
    <w:rsid w:val="00930155"/>
    <w:rsid w:val="00932789"/>
    <w:rsid w:val="00940F50"/>
    <w:rsid w:val="00944106"/>
    <w:rsid w:val="00951318"/>
    <w:rsid w:val="0095283D"/>
    <w:rsid w:val="009604B6"/>
    <w:rsid w:val="00966AA4"/>
    <w:rsid w:val="00967C60"/>
    <w:rsid w:val="00986F4D"/>
    <w:rsid w:val="00987660"/>
    <w:rsid w:val="00990082"/>
    <w:rsid w:val="00993B45"/>
    <w:rsid w:val="009A27DD"/>
    <w:rsid w:val="009A432D"/>
    <w:rsid w:val="009A6D1F"/>
    <w:rsid w:val="009B251E"/>
    <w:rsid w:val="009B4BBF"/>
    <w:rsid w:val="009C2783"/>
    <w:rsid w:val="009C3472"/>
    <w:rsid w:val="009D1F02"/>
    <w:rsid w:val="009D2F57"/>
    <w:rsid w:val="009E1BD8"/>
    <w:rsid w:val="009E33A1"/>
    <w:rsid w:val="009E3428"/>
    <w:rsid w:val="009E55F9"/>
    <w:rsid w:val="009E69D6"/>
    <w:rsid w:val="00A00229"/>
    <w:rsid w:val="00A01D78"/>
    <w:rsid w:val="00A06395"/>
    <w:rsid w:val="00A11F65"/>
    <w:rsid w:val="00A41028"/>
    <w:rsid w:val="00A419A2"/>
    <w:rsid w:val="00A43594"/>
    <w:rsid w:val="00A508B8"/>
    <w:rsid w:val="00A6024C"/>
    <w:rsid w:val="00A60280"/>
    <w:rsid w:val="00A63C8D"/>
    <w:rsid w:val="00A6755A"/>
    <w:rsid w:val="00A67A9A"/>
    <w:rsid w:val="00A72575"/>
    <w:rsid w:val="00A86578"/>
    <w:rsid w:val="00A93BE5"/>
    <w:rsid w:val="00A95A3C"/>
    <w:rsid w:val="00AA28E4"/>
    <w:rsid w:val="00AA2FB1"/>
    <w:rsid w:val="00AA3FB5"/>
    <w:rsid w:val="00AA4F5A"/>
    <w:rsid w:val="00AB3D30"/>
    <w:rsid w:val="00AB5382"/>
    <w:rsid w:val="00AC23AA"/>
    <w:rsid w:val="00AC2D28"/>
    <w:rsid w:val="00AC3989"/>
    <w:rsid w:val="00AC44EE"/>
    <w:rsid w:val="00AC752C"/>
    <w:rsid w:val="00AD61C3"/>
    <w:rsid w:val="00AD6FC4"/>
    <w:rsid w:val="00AD7212"/>
    <w:rsid w:val="00AF4120"/>
    <w:rsid w:val="00AF43B9"/>
    <w:rsid w:val="00B00A8E"/>
    <w:rsid w:val="00B0482F"/>
    <w:rsid w:val="00B05BFC"/>
    <w:rsid w:val="00B06475"/>
    <w:rsid w:val="00B07D78"/>
    <w:rsid w:val="00B103AE"/>
    <w:rsid w:val="00B122DA"/>
    <w:rsid w:val="00B210AC"/>
    <w:rsid w:val="00B21A55"/>
    <w:rsid w:val="00B30BE1"/>
    <w:rsid w:val="00B453A6"/>
    <w:rsid w:val="00B46D62"/>
    <w:rsid w:val="00B701C6"/>
    <w:rsid w:val="00B71567"/>
    <w:rsid w:val="00B72161"/>
    <w:rsid w:val="00B733B0"/>
    <w:rsid w:val="00B75CAE"/>
    <w:rsid w:val="00BA6895"/>
    <w:rsid w:val="00BB4F49"/>
    <w:rsid w:val="00BB7CA9"/>
    <w:rsid w:val="00BC2E35"/>
    <w:rsid w:val="00BC3FD1"/>
    <w:rsid w:val="00BC4C33"/>
    <w:rsid w:val="00BC6AA7"/>
    <w:rsid w:val="00BD0663"/>
    <w:rsid w:val="00BE0F7B"/>
    <w:rsid w:val="00BE2F6A"/>
    <w:rsid w:val="00BE4511"/>
    <w:rsid w:val="00BE7D43"/>
    <w:rsid w:val="00C04FF7"/>
    <w:rsid w:val="00C11805"/>
    <w:rsid w:val="00C26C0A"/>
    <w:rsid w:val="00C32182"/>
    <w:rsid w:val="00C348A5"/>
    <w:rsid w:val="00C374C4"/>
    <w:rsid w:val="00C4439D"/>
    <w:rsid w:val="00C47BFF"/>
    <w:rsid w:val="00C56B6B"/>
    <w:rsid w:val="00C64C6E"/>
    <w:rsid w:val="00C82D99"/>
    <w:rsid w:val="00C964FC"/>
    <w:rsid w:val="00C965AC"/>
    <w:rsid w:val="00CA3121"/>
    <w:rsid w:val="00CA77AA"/>
    <w:rsid w:val="00CA7829"/>
    <w:rsid w:val="00CA7CF1"/>
    <w:rsid w:val="00CB556C"/>
    <w:rsid w:val="00CB6303"/>
    <w:rsid w:val="00CC1FAB"/>
    <w:rsid w:val="00CC2753"/>
    <w:rsid w:val="00CC4AD8"/>
    <w:rsid w:val="00CD3A80"/>
    <w:rsid w:val="00CF2E41"/>
    <w:rsid w:val="00CF45DA"/>
    <w:rsid w:val="00D209C5"/>
    <w:rsid w:val="00D20F4E"/>
    <w:rsid w:val="00D235B4"/>
    <w:rsid w:val="00D27184"/>
    <w:rsid w:val="00D32FFF"/>
    <w:rsid w:val="00D538CA"/>
    <w:rsid w:val="00D55D77"/>
    <w:rsid w:val="00D57C0D"/>
    <w:rsid w:val="00D602AC"/>
    <w:rsid w:val="00D64EBB"/>
    <w:rsid w:val="00D65F79"/>
    <w:rsid w:val="00D76AD5"/>
    <w:rsid w:val="00D815B6"/>
    <w:rsid w:val="00D910A6"/>
    <w:rsid w:val="00D936AF"/>
    <w:rsid w:val="00DA278A"/>
    <w:rsid w:val="00DA556C"/>
    <w:rsid w:val="00DB3130"/>
    <w:rsid w:val="00DB5574"/>
    <w:rsid w:val="00DD0591"/>
    <w:rsid w:val="00DD1CAB"/>
    <w:rsid w:val="00DF1637"/>
    <w:rsid w:val="00DF6902"/>
    <w:rsid w:val="00DF7BC4"/>
    <w:rsid w:val="00E01750"/>
    <w:rsid w:val="00E021C2"/>
    <w:rsid w:val="00E0481A"/>
    <w:rsid w:val="00E225A3"/>
    <w:rsid w:val="00E359AB"/>
    <w:rsid w:val="00E373C3"/>
    <w:rsid w:val="00E46605"/>
    <w:rsid w:val="00E529D9"/>
    <w:rsid w:val="00E530F7"/>
    <w:rsid w:val="00E5446B"/>
    <w:rsid w:val="00E61CB5"/>
    <w:rsid w:val="00E62094"/>
    <w:rsid w:val="00E65A93"/>
    <w:rsid w:val="00E7263D"/>
    <w:rsid w:val="00E728AE"/>
    <w:rsid w:val="00E75E7B"/>
    <w:rsid w:val="00E8379D"/>
    <w:rsid w:val="00E83D83"/>
    <w:rsid w:val="00E87FCF"/>
    <w:rsid w:val="00EA0528"/>
    <w:rsid w:val="00EA3D9F"/>
    <w:rsid w:val="00EA4125"/>
    <w:rsid w:val="00EB0A76"/>
    <w:rsid w:val="00EB7F22"/>
    <w:rsid w:val="00ED4CAA"/>
    <w:rsid w:val="00EE2025"/>
    <w:rsid w:val="00EE2E47"/>
    <w:rsid w:val="00EE2EEE"/>
    <w:rsid w:val="00EE3B01"/>
    <w:rsid w:val="00EE72E8"/>
    <w:rsid w:val="00F016AA"/>
    <w:rsid w:val="00F01B4B"/>
    <w:rsid w:val="00F04AEE"/>
    <w:rsid w:val="00F07424"/>
    <w:rsid w:val="00F14FCF"/>
    <w:rsid w:val="00F212E9"/>
    <w:rsid w:val="00F22961"/>
    <w:rsid w:val="00F232A3"/>
    <w:rsid w:val="00F26A0B"/>
    <w:rsid w:val="00F33095"/>
    <w:rsid w:val="00F333B3"/>
    <w:rsid w:val="00F33F9D"/>
    <w:rsid w:val="00F416D9"/>
    <w:rsid w:val="00F43503"/>
    <w:rsid w:val="00F4632C"/>
    <w:rsid w:val="00F60B0C"/>
    <w:rsid w:val="00F65520"/>
    <w:rsid w:val="00F72BEC"/>
    <w:rsid w:val="00F72C0C"/>
    <w:rsid w:val="00F81172"/>
    <w:rsid w:val="00F834B9"/>
    <w:rsid w:val="00F9317B"/>
    <w:rsid w:val="00F935D2"/>
    <w:rsid w:val="00F93A1C"/>
    <w:rsid w:val="00F95437"/>
    <w:rsid w:val="00F9700F"/>
    <w:rsid w:val="00FA4E49"/>
    <w:rsid w:val="00FA67E4"/>
    <w:rsid w:val="00FB0072"/>
    <w:rsid w:val="00FB68C6"/>
    <w:rsid w:val="00FB6BCF"/>
    <w:rsid w:val="00FB6CAA"/>
    <w:rsid w:val="00FD1E2C"/>
    <w:rsid w:val="00FD2136"/>
    <w:rsid w:val="00FD3B44"/>
    <w:rsid w:val="00FD7984"/>
    <w:rsid w:val="00FF7476"/>
    <w:rsid w:val="012D4559"/>
    <w:rsid w:val="01D53A4B"/>
    <w:rsid w:val="028B161E"/>
    <w:rsid w:val="029702A0"/>
    <w:rsid w:val="0344178C"/>
    <w:rsid w:val="03631E97"/>
    <w:rsid w:val="0393305A"/>
    <w:rsid w:val="03B030F7"/>
    <w:rsid w:val="03C41DFB"/>
    <w:rsid w:val="043735AC"/>
    <w:rsid w:val="043F0511"/>
    <w:rsid w:val="04D76995"/>
    <w:rsid w:val="054B35C3"/>
    <w:rsid w:val="0660677A"/>
    <w:rsid w:val="0680104B"/>
    <w:rsid w:val="06B402B4"/>
    <w:rsid w:val="06FB0E84"/>
    <w:rsid w:val="081D1B91"/>
    <w:rsid w:val="08522FE7"/>
    <w:rsid w:val="08587100"/>
    <w:rsid w:val="090D303E"/>
    <w:rsid w:val="09204A48"/>
    <w:rsid w:val="09254383"/>
    <w:rsid w:val="09905A49"/>
    <w:rsid w:val="0995073B"/>
    <w:rsid w:val="09C865E1"/>
    <w:rsid w:val="0AC26EFD"/>
    <w:rsid w:val="0BCA3E81"/>
    <w:rsid w:val="0C8E762D"/>
    <w:rsid w:val="0CCB3534"/>
    <w:rsid w:val="0D52637F"/>
    <w:rsid w:val="0DB937C0"/>
    <w:rsid w:val="0DE85E53"/>
    <w:rsid w:val="0DFB0751"/>
    <w:rsid w:val="0EC44971"/>
    <w:rsid w:val="0FA47B58"/>
    <w:rsid w:val="10585C8E"/>
    <w:rsid w:val="10B520DA"/>
    <w:rsid w:val="10F20B62"/>
    <w:rsid w:val="11A622AD"/>
    <w:rsid w:val="12A01D89"/>
    <w:rsid w:val="12AF0A22"/>
    <w:rsid w:val="12DE4331"/>
    <w:rsid w:val="13405DEA"/>
    <w:rsid w:val="15436065"/>
    <w:rsid w:val="15F86E50"/>
    <w:rsid w:val="161A57F3"/>
    <w:rsid w:val="16990354"/>
    <w:rsid w:val="17BF0C6B"/>
    <w:rsid w:val="17C77413"/>
    <w:rsid w:val="189345F3"/>
    <w:rsid w:val="18E82329"/>
    <w:rsid w:val="1A366198"/>
    <w:rsid w:val="1AA475A6"/>
    <w:rsid w:val="1ABF2970"/>
    <w:rsid w:val="1B1F5435"/>
    <w:rsid w:val="1B590B9B"/>
    <w:rsid w:val="1B640576"/>
    <w:rsid w:val="1BD347AA"/>
    <w:rsid w:val="1E315804"/>
    <w:rsid w:val="1E537610"/>
    <w:rsid w:val="1F1B558B"/>
    <w:rsid w:val="1F4B4494"/>
    <w:rsid w:val="20CA5AF5"/>
    <w:rsid w:val="20F954E8"/>
    <w:rsid w:val="214C004F"/>
    <w:rsid w:val="21DE7834"/>
    <w:rsid w:val="21FD5DEC"/>
    <w:rsid w:val="228B67B4"/>
    <w:rsid w:val="23757095"/>
    <w:rsid w:val="23A678D5"/>
    <w:rsid w:val="248949DC"/>
    <w:rsid w:val="255B2F57"/>
    <w:rsid w:val="25A67EE3"/>
    <w:rsid w:val="262B2929"/>
    <w:rsid w:val="268D4CEB"/>
    <w:rsid w:val="271B299E"/>
    <w:rsid w:val="27765E26"/>
    <w:rsid w:val="2891378A"/>
    <w:rsid w:val="28A5449C"/>
    <w:rsid w:val="28BA1DBD"/>
    <w:rsid w:val="28D257BF"/>
    <w:rsid w:val="28EB5FDB"/>
    <w:rsid w:val="2A4351A5"/>
    <w:rsid w:val="2B4F0E68"/>
    <w:rsid w:val="2BAB3285"/>
    <w:rsid w:val="2BAF7B59"/>
    <w:rsid w:val="2C10541E"/>
    <w:rsid w:val="2C7131BD"/>
    <w:rsid w:val="2D634558"/>
    <w:rsid w:val="2DA32E31"/>
    <w:rsid w:val="2E186D73"/>
    <w:rsid w:val="2E943090"/>
    <w:rsid w:val="2F2A4FB1"/>
    <w:rsid w:val="31E45F8A"/>
    <w:rsid w:val="32665B26"/>
    <w:rsid w:val="33D22321"/>
    <w:rsid w:val="3501282E"/>
    <w:rsid w:val="35391866"/>
    <w:rsid w:val="35812DEC"/>
    <w:rsid w:val="359A7184"/>
    <w:rsid w:val="35E42F7F"/>
    <w:rsid w:val="369E0EF6"/>
    <w:rsid w:val="37FC2378"/>
    <w:rsid w:val="388365F5"/>
    <w:rsid w:val="388C54AA"/>
    <w:rsid w:val="38C242A9"/>
    <w:rsid w:val="38E10208"/>
    <w:rsid w:val="3AE1581B"/>
    <w:rsid w:val="3C8D17F0"/>
    <w:rsid w:val="3CBE7BFC"/>
    <w:rsid w:val="3DF84005"/>
    <w:rsid w:val="3ECA495B"/>
    <w:rsid w:val="3F414C7A"/>
    <w:rsid w:val="3F4647F9"/>
    <w:rsid w:val="408D7896"/>
    <w:rsid w:val="43D77858"/>
    <w:rsid w:val="44191BBB"/>
    <w:rsid w:val="449C77BB"/>
    <w:rsid w:val="44D22E08"/>
    <w:rsid w:val="461940F5"/>
    <w:rsid w:val="46227124"/>
    <w:rsid w:val="47275B26"/>
    <w:rsid w:val="47E66E69"/>
    <w:rsid w:val="48053C55"/>
    <w:rsid w:val="48CE0F0E"/>
    <w:rsid w:val="4B137364"/>
    <w:rsid w:val="4B69379D"/>
    <w:rsid w:val="4B6B53F2"/>
    <w:rsid w:val="4B90184F"/>
    <w:rsid w:val="4C4B2908"/>
    <w:rsid w:val="4D1070F8"/>
    <w:rsid w:val="4D272CA1"/>
    <w:rsid w:val="4DA62E8C"/>
    <w:rsid w:val="4E6673B5"/>
    <w:rsid w:val="4E6A29F2"/>
    <w:rsid w:val="4ED61B10"/>
    <w:rsid w:val="4EE11918"/>
    <w:rsid w:val="4F120655"/>
    <w:rsid w:val="4F351F9F"/>
    <w:rsid w:val="4F8935D0"/>
    <w:rsid w:val="4F9512F1"/>
    <w:rsid w:val="4FC7696F"/>
    <w:rsid w:val="4FDC3E3D"/>
    <w:rsid w:val="503A1D75"/>
    <w:rsid w:val="50805861"/>
    <w:rsid w:val="50D65078"/>
    <w:rsid w:val="518C3B94"/>
    <w:rsid w:val="52246DE3"/>
    <w:rsid w:val="53A962A9"/>
    <w:rsid w:val="53E0223F"/>
    <w:rsid w:val="543C72F9"/>
    <w:rsid w:val="56AA4FB9"/>
    <w:rsid w:val="56FB1D20"/>
    <w:rsid w:val="570C64F1"/>
    <w:rsid w:val="579228CF"/>
    <w:rsid w:val="57A469E1"/>
    <w:rsid w:val="57A6267F"/>
    <w:rsid w:val="57A867F0"/>
    <w:rsid w:val="58DF748F"/>
    <w:rsid w:val="58E02CD3"/>
    <w:rsid w:val="58F567C4"/>
    <w:rsid w:val="59CF7A7A"/>
    <w:rsid w:val="59E10465"/>
    <w:rsid w:val="5AEB185A"/>
    <w:rsid w:val="5B656A76"/>
    <w:rsid w:val="5BA1290C"/>
    <w:rsid w:val="5C262BCA"/>
    <w:rsid w:val="5DEA04B3"/>
    <w:rsid w:val="5F166FCB"/>
    <w:rsid w:val="5F3D27AA"/>
    <w:rsid w:val="60E81DBB"/>
    <w:rsid w:val="614001E6"/>
    <w:rsid w:val="62303104"/>
    <w:rsid w:val="62A50D92"/>
    <w:rsid w:val="62D4425D"/>
    <w:rsid w:val="62E00566"/>
    <w:rsid w:val="62EE0B0C"/>
    <w:rsid w:val="654342F3"/>
    <w:rsid w:val="659B161D"/>
    <w:rsid w:val="65EB7B6D"/>
    <w:rsid w:val="66723681"/>
    <w:rsid w:val="66F04BFB"/>
    <w:rsid w:val="673D77D6"/>
    <w:rsid w:val="679531B6"/>
    <w:rsid w:val="69936031"/>
    <w:rsid w:val="69F21D41"/>
    <w:rsid w:val="6A5135AE"/>
    <w:rsid w:val="6AAC30B7"/>
    <w:rsid w:val="6CC664D5"/>
    <w:rsid w:val="6DAB5541"/>
    <w:rsid w:val="6EC8131C"/>
    <w:rsid w:val="6F5228DB"/>
    <w:rsid w:val="6FB32C06"/>
    <w:rsid w:val="6FB91CCE"/>
    <w:rsid w:val="701F237D"/>
    <w:rsid w:val="70441BEA"/>
    <w:rsid w:val="728B71CC"/>
    <w:rsid w:val="74640AAD"/>
    <w:rsid w:val="74D6302D"/>
    <w:rsid w:val="75297557"/>
    <w:rsid w:val="77897B9D"/>
    <w:rsid w:val="77A25449"/>
    <w:rsid w:val="78A51694"/>
    <w:rsid w:val="79491F08"/>
    <w:rsid w:val="7A7D6F86"/>
    <w:rsid w:val="7BBD44C3"/>
    <w:rsid w:val="7CCA16C9"/>
    <w:rsid w:val="7D3E2F48"/>
    <w:rsid w:val="7D6E0B2D"/>
    <w:rsid w:val="7E666BAB"/>
    <w:rsid w:val="7E78372F"/>
    <w:rsid w:val="7EE10910"/>
    <w:rsid w:val="7FCD2965"/>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qFormat="1" w:unhideWhenUsed="0" w:uiPriority="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88"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next w:val="3"/>
    <w:link w:val="28"/>
    <w:qFormat/>
    <w:uiPriority w:val="9"/>
    <w:pPr>
      <w:keepNext/>
      <w:keepLines/>
      <w:numPr>
        <w:ilvl w:val="0"/>
        <w:numId w:val="1"/>
      </w:numPr>
      <w:spacing w:after="100" w:afterLines="100" w:line="480" w:lineRule="auto"/>
      <w:jc w:val="center"/>
      <w:outlineLvl w:val="0"/>
    </w:pPr>
    <w:rPr>
      <w:rFonts w:ascii="Times New Roman" w:hAnsi="Times New Roman" w:eastAsia="宋体" w:cstheme="minorBidi"/>
      <w:b/>
      <w:bCs/>
      <w:kern w:val="44"/>
      <w:sz w:val="32"/>
      <w:szCs w:val="44"/>
      <w:lang w:val="en-US" w:eastAsia="zh-CN" w:bidi="ar-SA"/>
    </w:rPr>
  </w:style>
  <w:style w:type="paragraph" w:styleId="3">
    <w:name w:val="heading 2"/>
    <w:next w:val="1"/>
    <w:link w:val="30"/>
    <w:unhideWhenUsed/>
    <w:qFormat/>
    <w:uiPriority w:val="9"/>
    <w:pPr>
      <w:keepNext/>
      <w:keepLines/>
      <w:numPr>
        <w:ilvl w:val="1"/>
        <w:numId w:val="1"/>
      </w:numPr>
      <w:spacing w:line="360" w:lineRule="auto"/>
      <w:outlineLvl w:val="1"/>
    </w:pPr>
    <w:rPr>
      <w:rFonts w:ascii="Times New Roman" w:hAnsi="Times New Roman" w:eastAsia="宋体" w:cstheme="majorBidi"/>
      <w:b/>
      <w:bCs/>
      <w:kern w:val="2"/>
      <w:sz w:val="28"/>
      <w:szCs w:val="32"/>
      <w:lang w:val="en-US" w:eastAsia="zh-CN" w:bidi="ar-SA"/>
    </w:rPr>
  </w:style>
  <w:style w:type="paragraph" w:styleId="4">
    <w:name w:val="heading 3"/>
    <w:basedOn w:val="1"/>
    <w:next w:val="1"/>
    <w:link w:val="29"/>
    <w:unhideWhenUsed/>
    <w:qFormat/>
    <w:uiPriority w:val="9"/>
    <w:pPr>
      <w:keepNext/>
      <w:keepLines/>
      <w:numPr>
        <w:ilvl w:val="2"/>
        <w:numId w:val="1"/>
      </w:numPr>
      <w:spacing w:line="360" w:lineRule="auto"/>
      <w:ind w:firstLineChars="0"/>
      <w:outlineLvl w:val="2"/>
    </w:pPr>
    <w:rPr>
      <w:bCs/>
      <w:szCs w:val="32"/>
    </w:rPr>
  </w:style>
  <w:style w:type="paragraph" w:styleId="5">
    <w:name w:val="heading 4"/>
    <w:basedOn w:val="1"/>
    <w:next w:val="1"/>
    <w:link w:val="31"/>
    <w:unhideWhenUsed/>
    <w:qFormat/>
    <w:uiPriority w:val="9"/>
    <w:pPr>
      <w:keepNext/>
      <w:keepLines/>
      <w:numPr>
        <w:ilvl w:val="3"/>
        <w:numId w:val="1"/>
      </w:numPr>
      <w:spacing w:line="360" w:lineRule="auto"/>
      <w:ind w:firstLineChars="0"/>
      <w:outlineLvl w:val="3"/>
    </w:pPr>
    <w:rPr>
      <w:rFonts w:cstheme="majorBidi"/>
      <w:bCs/>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spacing w:line="240" w:lineRule="auto"/>
      <w:ind w:left="2520" w:leftChars="1200" w:firstLine="0" w:firstLineChars="0"/>
    </w:pPr>
    <w:rPr>
      <w:rFonts w:asciiTheme="minorHAnsi" w:hAnsiTheme="minorHAnsi" w:eastAsiaTheme="minorEastAsia"/>
      <w:sz w:val="21"/>
    </w:rPr>
  </w:style>
  <w:style w:type="paragraph" w:styleId="7">
    <w:name w:val="caption"/>
    <w:basedOn w:val="1"/>
    <w:next w:val="1"/>
    <w:unhideWhenUsed/>
    <w:qFormat/>
    <w:uiPriority w:val="35"/>
    <w:rPr>
      <w:rFonts w:eastAsia="黑体" w:asciiTheme="majorHAnsi" w:hAnsiTheme="majorHAnsi" w:cstheme="majorBidi"/>
      <w:sz w:val="20"/>
      <w:szCs w:val="20"/>
    </w:rPr>
  </w:style>
  <w:style w:type="paragraph" w:styleId="8">
    <w:name w:val="annotation text"/>
    <w:basedOn w:val="1"/>
    <w:link w:val="63"/>
    <w:semiHidden/>
    <w:unhideWhenUsed/>
    <w:qFormat/>
    <w:uiPriority w:val="99"/>
    <w:pPr>
      <w:jc w:val="left"/>
    </w:pPr>
  </w:style>
  <w:style w:type="paragraph" w:styleId="9">
    <w:name w:val="toc 5"/>
    <w:basedOn w:val="1"/>
    <w:next w:val="1"/>
    <w:unhideWhenUsed/>
    <w:qFormat/>
    <w:uiPriority w:val="39"/>
    <w:pPr>
      <w:spacing w:line="240" w:lineRule="auto"/>
      <w:ind w:left="1680" w:leftChars="800" w:firstLine="0" w:firstLineChars="0"/>
    </w:pPr>
    <w:rPr>
      <w:rFonts w:asciiTheme="minorHAnsi" w:hAnsiTheme="minorHAnsi" w:eastAsiaTheme="minorEastAsia"/>
      <w:sz w:val="21"/>
    </w:rPr>
  </w:style>
  <w:style w:type="paragraph" w:styleId="10">
    <w:name w:val="toc 3"/>
    <w:basedOn w:val="1"/>
    <w:next w:val="1"/>
    <w:unhideWhenUsed/>
    <w:qFormat/>
    <w:uiPriority w:val="39"/>
    <w:pPr>
      <w:ind w:left="840" w:leftChars="400"/>
    </w:pPr>
  </w:style>
  <w:style w:type="paragraph" w:styleId="11">
    <w:name w:val="toc 8"/>
    <w:basedOn w:val="1"/>
    <w:next w:val="1"/>
    <w:unhideWhenUsed/>
    <w:qFormat/>
    <w:uiPriority w:val="39"/>
    <w:pPr>
      <w:spacing w:line="240" w:lineRule="auto"/>
      <w:ind w:left="2940" w:leftChars="1400" w:firstLine="0" w:firstLineChars="0"/>
    </w:pPr>
    <w:rPr>
      <w:rFonts w:asciiTheme="minorHAnsi" w:hAnsiTheme="minorHAnsi" w:eastAsiaTheme="minorEastAsia"/>
      <w:sz w:val="21"/>
    </w:rPr>
  </w:style>
  <w:style w:type="paragraph" w:styleId="12">
    <w:name w:val="Date"/>
    <w:basedOn w:val="1"/>
    <w:next w:val="1"/>
    <w:link w:val="65"/>
    <w:semiHidden/>
    <w:unhideWhenUsed/>
    <w:qFormat/>
    <w:uiPriority w:val="99"/>
    <w:pPr>
      <w:ind w:left="100" w:leftChars="2500"/>
    </w:pPr>
  </w:style>
  <w:style w:type="paragraph" w:styleId="13">
    <w:name w:val="endnote text"/>
    <w:basedOn w:val="1"/>
    <w:link w:val="66"/>
    <w:semiHidden/>
    <w:qFormat/>
    <w:uiPriority w:val="0"/>
    <w:pPr>
      <w:snapToGrid w:val="0"/>
      <w:spacing w:line="240" w:lineRule="auto"/>
      <w:ind w:firstLine="0" w:firstLineChars="0"/>
      <w:jc w:val="left"/>
    </w:pPr>
    <w:rPr>
      <w:rFonts w:asciiTheme="minorHAnsi" w:hAnsiTheme="minorHAnsi" w:eastAsiaTheme="minorEastAsia"/>
      <w:sz w:val="21"/>
      <w:szCs w:val="24"/>
    </w:rPr>
  </w:style>
  <w:style w:type="paragraph" w:styleId="14">
    <w:name w:val="Balloon Text"/>
    <w:basedOn w:val="1"/>
    <w:link w:val="62"/>
    <w:semiHidden/>
    <w:unhideWhenUsed/>
    <w:qFormat/>
    <w:uiPriority w:val="99"/>
    <w:pPr>
      <w:spacing w:line="240" w:lineRule="auto"/>
    </w:pPr>
    <w:rPr>
      <w:sz w:val="18"/>
      <w:szCs w:val="18"/>
    </w:rPr>
  </w:style>
  <w:style w:type="paragraph" w:styleId="15">
    <w:name w:val="footer"/>
    <w:basedOn w:val="1"/>
    <w:link w:val="34"/>
    <w:unhideWhenUsed/>
    <w:qFormat/>
    <w:uiPriority w:val="99"/>
    <w:pPr>
      <w:tabs>
        <w:tab w:val="center" w:pos="4153"/>
        <w:tab w:val="right" w:pos="8306"/>
      </w:tabs>
      <w:snapToGrid w:val="0"/>
      <w:spacing w:line="240" w:lineRule="auto"/>
      <w:jc w:val="left"/>
    </w:pPr>
    <w:rPr>
      <w:sz w:val="18"/>
      <w:szCs w:val="18"/>
    </w:rPr>
  </w:style>
  <w:style w:type="paragraph" w:styleId="16">
    <w:name w:val="header"/>
    <w:basedOn w:val="1"/>
    <w:link w:val="33"/>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7">
    <w:name w:val="toc 1"/>
    <w:basedOn w:val="1"/>
    <w:next w:val="1"/>
    <w:unhideWhenUsed/>
    <w:qFormat/>
    <w:uiPriority w:val="39"/>
    <w:pPr>
      <w:tabs>
        <w:tab w:val="right" w:leader="dot" w:pos="8296"/>
      </w:tabs>
      <w:spacing w:line="360" w:lineRule="auto"/>
      <w:ind w:firstLine="0" w:firstLineChars="0"/>
    </w:pPr>
  </w:style>
  <w:style w:type="paragraph" w:styleId="18">
    <w:name w:val="toc 4"/>
    <w:basedOn w:val="1"/>
    <w:next w:val="1"/>
    <w:unhideWhenUsed/>
    <w:qFormat/>
    <w:uiPriority w:val="39"/>
    <w:pPr>
      <w:spacing w:line="240" w:lineRule="auto"/>
      <w:ind w:left="1260" w:leftChars="600" w:firstLine="0" w:firstLineChars="0"/>
    </w:pPr>
    <w:rPr>
      <w:rFonts w:asciiTheme="minorHAnsi" w:hAnsiTheme="minorHAnsi" w:eastAsiaTheme="minorEastAsia"/>
      <w:sz w:val="21"/>
    </w:rPr>
  </w:style>
  <w:style w:type="paragraph" w:styleId="19">
    <w:name w:val="toc 6"/>
    <w:basedOn w:val="1"/>
    <w:next w:val="1"/>
    <w:unhideWhenUsed/>
    <w:qFormat/>
    <w:uiPriority w:val="39"/>
    <w:pPr>
      <w:spacing w:line="240" w:lineRule="auto"/>
      <w:ind w:left="2100" w:leftChars="1000" w:firstLine="0" w:firstLineChars="0"/>
    </w:pPr>
    <w:rPr>
      <w:rFonts w:asciiTheme="minorHAnsi" w:hAnsiTheme="minorHAnsi" w:eastAsiaTheme="minorEastAsia"/>
      <w:sz w:val="21"/>
    </w:rPr>
  </w:style>
  <w:style w:type="paragraph" w:styleId="20">
    <w:name w:val="toc 2"/>
    <w:basedOn w:val="1"/>
    <w:next w:val="1"/>
    <w:unhideWhenUsed/>
    <w:qFormat/>
    <w:uiPriority w:val="39"/>
    <w:pPr>
      <w:tabs>
        <w:tab w:val="right" w:leader="dot" w:pos="8296"/>
      </w:tabs>
      <w:ind w:left="480" w:leftChars="200" w:firstLine="0" w:firstLineChars="0"/>
    </w:pPr>
  </w:style>
  <w:style w:type="paragraph" w:styleId="21">
    <w:name w:val="toc 9"/>
    <w:basedOn w:val="1"/>
    <w:next w:val="1"/>
    <w:unhideWhenUsed/>
    <w:qFormat/>
    <w:uiPriority w:val="39"/>
    <w:pPr>
      <w:ind w:left="3360" w:leftChars="1600"/>
    </w:pPr>
  </w:style>
  <w:style w:type="paragraph" w:styleId="22">
    <w:name w:val="annotation subject"/>
    <w:basedOn w:val="8"/>
    <w:next w:val="8"/>
    <w:link w:val="64"/>
    <w:semiHidden/>
    <w:unhideWhenUsed/>
    <w:qFormat/>
    <w:uiPriority w:val="99"/>
    <w:rPr>
      <w:b/>
      <w:bCs/>
    </w:rPr>
  </w:style>
  <w:style w:type="table" w:styleId="24">
    <w:name w:val="Table Grid"/>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Hyperlink"/>
    <w:basedOn w:val="25"/>
    <w:unhideWhenUsed/>
    <w:qFormat/>
    <w:uiPriority w:val="99"/>
    <w:rPr>
      <w:color w:val="0563C1" w:themeColor="hyperlink"/>
      <w:u w:val="single"/>
      <w14:textFill>
        <w14:solidFill>
          <w14:schemeClr w14:val="hlink"/>
        </w14:solidFill>
      </w14:textFill>
    </w:rPr>
  </w:style>
  <w:style w:type="character" w:styleId="27">
    <w:name w:val="annotation reference"/>
    <w:basedOn w:val="25"/>
    <w:semiHidden/>
    <w:unhideWhenUsed/>
    <w:qFormat/>
    <w:uiPriority w:val="99"/>
    <w:rPr>
      <w:sz w:val="21"/>
      <w:szCs w:val="21"/>
    </w:rPr>
  </w:style>
  <w:style w:type="character" w:customStyle="1" w:styleId="28">
    <w:name w:val="标题 1 字符"/>
    <w:basedOn w:val="25"/>
    <w:link w:val="2"/>
    <w:qFormat/>
    <w:uiPriority w:val="9"/>
    <w:rPr>
      <w:rFonts w:ascii="Times New Roman" w:hAnsi="Times New Roman" w:eastAsia="宋体"/>
      <w:b/>
      <w:bCs/>
      <w:kern w:val="44"/>
      <w:sz w:val="32"/>
      <w:szCs w:val="44"/>
    </w:rPr>
  </w:style>
  <w:style w:type="character" w:customStyle="1" w:styleId="29">
    <w:name w:val="标题 3 字符"/>
    <w:basedOn w:val="25"/>
    <w:link w:val="4"/>
    <w:qFormat/>
    <w:uiPriority w:val="9"/>
    <w:rPr>
      <w:rFonts w:ascii="Times New Roman" w:hAnsi="Times New Roman" w:eastAsia="宋体"/>
      <w:bCs/>
      <w:kern w:val="2"/>
      <w:sz w:val="24"/>
      <w:szCs w:val="32"/>
    </w:rPr>
  </w:style>
  <w:style w:type="character" w:customStyle="1" w:styleId="30">
    <w:name w:val="标题 2 字符"/>
    <w:basedOn w:val="25"/>
    <w:link w:val="3"/>
    <w:qFormat/>
    <w:uiPriority w:val="9"/>
    <w:rPr>
      <w:rFonts w:ascii="Times New Roman" w:hAnsi="Times New Roman" w:eastAsia="宋体" w:cstheme="majorBidi"/>
      <w:b/>
      <w:bCs/>
      <w:kern w:val="2"/>
      <w:sz w:val="28"/>
      <w:szCs w:val="32"/>
    </w:rPr>
  </w:style>
  <w:style w:type="character" w:customStyle="1" w:styleId="31">
    <w:name w:val="标题 4 字符"/>
    <w:basedOn w:val="25"/>
    <w:link w:val="5"/>
    <w:qFormat/>
    <w:uiPriority w:val="9"/>
    <w:rPr>
      <w:rFonts w:ascii="Times New Roman" w:hAnsi="Times New Roman" w:eastAsia="宋体" w:cstheme="majorBidi"/>
      <w:bCs/>
      <w:kern w:val="2"/>
      <w:sz w:val="24"/>
      <w:szCs w:val="28"/>
    </w:rPr>
  </w:style>
  <w:style w:type="paragraph" w:customStyle="1" w:styleId="32">
    <w:name w:val="YN-标题1-无编号"/>
    <w:qFormat/>
    <w:uiPriority w:val="0"/>
    <w:pPr>
      <w:tabs>
        <w:tab w:val="right" w:leader="dot" w:pos="8296"/>
      </w:tabs>
      <w:spacing w:line="360" w:lineRule="auto"/>
      <w:jc w:val="center"/>
      <w:outlineLvl w:val="0"/>
    </w:pPr>
    <w:rPr>
      <w:rFonts w:ascii="Times New Roman" w:hAnsi="Times New Roman" w:eastAsia="宋体" w:cstheme="minorBidi"/>
      <w:b/>
      <w:kern w:val="2"/>
      <w:sz w:val="32"/>
      <w:szCs w:val="22"/>
      <w:lang w:val="en-US" w:eastAsia="zh-CN" w:bidi="ar-SA"/>
    </w:rPr>
  </w:style>
  <w:style w:type="character" w:customStyle="1" w:styleId="33">
    <w:name w:val="页眉 字符"/>
    <w:basedOn w:val="25"/>
    <w:link w:val="16"/>
    <w:qFormat/>
    <w:uiPriority w:val="99"/>
    <w:rPr>
      <w:rFonts w:ascii="Times New Roman" w:hAnsi="Times New Roman" w:eastAsia="宋体"/>
      <w:sz w:val="18"/>
      <w:szCs w:val="18"/>
    </w:rPr>
  </w:style>
  <w:style w:type="character" w:customStyle="1" w:styleId="34">
    <w:name w:val="页脚 字符"/>
    <w:basedOn w:val="25"/>
    <w:link w:val="15"/>
    <w:qFormat/>
    <w:uiPriority w:val="99"/>
    <w:rPr>
      <w:rFonts w:ascii="Times New Roman" w:hAnsi="Times New Roman" w:eastAsia="宋体"/>
      <w:sz w:val="18"/>
      <w:szCs w:val="18"/>
    </w:rPr>
  </w:style>
  <w:style w:type="paragraph" w:customStyle="1" w:styleId="35">
    <w:name w:val="YN-封面"/>
    <w:qFormat/>
    <w:uiPriority w:val="0"/>
    <w:pPr>
      <w:jc w:val="center"/>
    </w:pPr>
    <w:rPr>
      <w:rFonts w:ascii="Times New Roman" w:hAnsi="Times New Roman" w:eastAsia="宋体" w:cstheme="minorBidi"/>
      <w:b/>
      <w:kern w:val="2"/>
      <w:sz w:val="44"/>
      <w:szCs w:val="22"/>
      <w:lang w:val="en-US" w:eastAsia="zh-CN" w:bidi="ar-SA"/>
    </w:rPr>
  </w:style>
  <w:style w:type="table" w:customStyle="1" w:styleId="36">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37">
    <w:name w:val="Table Paragraph"/>
    <w:basedOn w:val="1"/>
    <w:qFormat/>
    <w:uiPriority w:val="99"/>
    <w:pPr>
      <w:autoSpaceDE w:val="0"/>
      <w:autoSpaceDN w:val="0"/>
      <w:spacing w:line="240" w:lineRule="auto"/>
      <w:ind w:firstLine="0" w:firstLineChars="0"/>
      <w:jc w:val="center"/>
    </w:pPr>
    <w:rPr>
      <w:rFonts w:ascii="华光书宋_CNKI" w:hAnsi="华光书宋_CNKI" w:eastAsia="华光书宋_CNKI" w:cs="华光书宋_CNKI"/>
      <w:kern w:val="0"/>
      <w:sz w:val="22"/>
      <w:lang w:eastAsia="en-US"/>
    </w:rPr>
  </w:style>
  <w:style w:type="paragraph" w:customStyle="1" w:styleId="38">
    <w:name w:val="YN-表格标题"/>
    <w:qFormat/>
    <w:uiPriority w:val="0"/>
    <w:pPr>
      <w:jc w:val="center"/>
    </w:pPr>
    <w:rPr>
      <w:rFonts w:ascii="Times New Roman" w:hAnsi="Times New Roman" w:eastAsia="宋体" w:cs="华光书宋_CNKI"/>
      <w:sz w:val="24"/>
      <w:szCs w:val="22"/>
      <w:lang w:val="en-US" w:eastAsia="zh-CN" w:bidi="ar-SA"/>
    </w:rPr>
  </w:style>
  <w:style w:type="paragraph" w:customStyle="1" w:styleId="39">
    <w:name w:val="YN-图标题"/>
    <w:next w:val="1"/>
    <w:qFormat/>
    <w:uiPriority w:val="0"/>
    <w:pPr>
      <w:jc w:val="center"/>
    </w:pPr>
    <w:rPr>
      <w:rFonts w:ascii="Times New Roman" w:hAnsi="Times New Roman" w:eastAsia="宋体" w:cstheme="minorBidi"/>
      <w:kern w:val="2"/>
      <w:sz w:val="24"/>
      <w:szCs w:val="22"/>
      <w:lang w:val="en-US" w:eastAsia="zh-CN" w:bidi="ar-SA"/>
    </w:rPr>
  </w:style>
  <w:style w:type="paragraph" w:styleId="40">
    <w:name w:val="List Paragraph"/>
    <w:basedOn w:val="1"/>
    <w:qFormat/>
    <w:uiPriority w:val="34"/>
    <w:pPr>
      <w:ind w:firstLine="420"/>
    </w:pPr>
  </w:style>
  <w:style w:type="table" w:customStyle="1" w:styleId="41">
    <w:name w:val="网格型-中对齐1"/>
    <w:basedOn w:val="23"/>
    <w:qFormat/>
    <w:uiPriority w:val="59"/>
    <w:rPr>
      <w:rFonts w:ascii="Times New Roman" w:hAnsi="Times New Roman" w:eastAsia="宋体" w:cs="Times New Roman"/>
      <w:lang w:bidi="mn-Mong-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
    <w:name w:val="网格型-中对齐2"/>
    <w:basedOn w:val="23"/>
    <w:qFormat/>
    <w:uiPriority w:val="59"/>
    <w:rPr>
      <w:rFonts w:ascii="Times New Roman" w:hAnsi="Times New Roman" w:eastAsia="宋体" w:cs="Times New Roman"/>
      <w:lang w:bidi="mn-Mong-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
    <w:name w:val="Table Normal1"/>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table" w:customStyle="1" w:styleId="44">
    <w:name w:val="网格型1"/>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5">
    <w:name w:val="网格型2"/>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6">
    <w:name w:val="二级无"/>
    <w:basedOn w:val="1"/>
    <w:qFormat/>
    <w:uiPriority w:val="0"/>
    <w:pPr>
      <w:widowControl/>
      <w:spacing w:line="240" w:lineRule="auto"/>
      <w:ind w:left="993" w:firstLine="0" w:firstLineChars="0"/>
      <w:jc w:val="left"/>
      <w:outlineLvl w:val="3"/>
    </w:pPr>
    <w:rPr>
      <w:rFonts w:ascii="宋体" w:cs="Times New Roman"/>
      <w:kern w:val="0"/>
      <w:sz w:val="21"/>
      <w:szCs w:val="21"/>
    </w:rPr>
  </w:style>
  <w:style w:type="paragraph" w:customStyle="1" w:styleId="47">
    <w:name w:val="三级无"/>
    <w:basedOn w:val="1"/>
    <w:qFormat/>
    <w:uiPriority w:val="0"/>
    <w:pPr>
      <w:widowControl/>
      <w:spacing w:line="240" w:lineRule="auto"/>
      <w:ind w:firstLine="0" w:firstLineChars="0"/>
      <w:jc w:val="left"/>
      <w:outlineLvl w:val="4"/>
    </w:pPr>
    <w:rPr>
      <w:rFonts w:ascii="宋体" w:cs="Times New Roman"/>
      <w:kern w:val="0"/>
      <w:sz w:val="21"/>
      <w:szCs w:val="21"/>
    </w:rPr>
  </w:style>
  <w:style w:type="paragraph" w:customStyle="1" w:styleId="48">
    <w:name w:val="A表名图名样式"/>
    <w:basedOn w:val="1"/>
    <w:next w:val="1"/>
    <w:qFormat/>
    <w:uiPriority w:val="0"/>
    <w:pPr>
      <w:widowControl/>
      <w:spacing w:line="240" w:lineRule="auto"/>
      <w:ind w:firstLine="0" w:firstLineChars="0"/>
      <w:jc w:val="center"/>
      <w:outlineLvl w:val="4"/>
    </w:pPr>
    <w:rPr>
      <w:rFonts w:eastAsia="黑体" w:cs="黑体"/>
      <w:sz w:val="21"/>
      <w:szCs w:val="24"/>
    </w:rPr>
  </w:style>
  <w:style w:type="paragraph" w:customStyle="1" w:styleId="49">
    <w:name w:val="A表格正文"/>
    <w:basedOn w:val="1"/>
    <w:qFormat/>
    <w:uiPriority w:val="0"/>
    <w:pPr>
      <w:spacing w:line="240" w:lineRule="auto"/>
      <w:ind w:firstLine="0" w:firstLineChars="0"/>
      <w:jc w:val="center"/>
    </w:pPr>
    <w:rPr>
      <w:rFonts w:cs="黑体"/>
      <w:sz w:val="18"/>
    </w:rPr>
  </w:style>
  <w:style w:type="paragraph" w:styleId="50">
    <w:name w:val="No Spacing"/>
    <w:qFormat/>
    <w:uiPriority w:val="1"/>
    <w:pPr>
      <w:widowControl w:val="0"/>
      <w:ind w:firstLine="200" w:firstLineChars="200"/>
      <w:jc w:val="both"/>
    </w:pPr>
    <w:rPr>
      <w:rFonts w:ascii="Times New Roman" w:hAnsi="Times New Roman" w:eastAsia="宋体" w:cstheme="minorBidi"/>
      <w:kern w:val="2"/>
      <w:sz w:val="24"/>
      <w:szCs w:val="22"/>
      <w:lang w:val="en-US" w:eastAsia="zh-CN" w:bidi="ar-SA"/>
    </w:rPr>
  </w:style>
  <w:style w:type="paragraph" w:customStyle="1" w:styleId="51">
    <w:name w:val="正文内容"/>
    <w:basedOn w:val="1"/>
    <w:link w:val="52"/>
    <w:qFormat/>
    <w:uiPriority w:val="0"/>
    <w:pPr>
      <w:overflowPunct w:val="0"/>
      <w:spacing w:line="360" w:lineRule="auto"/>
    </w:pPr>
    <w:rPr>
      <w:rFonts w:cs="Times New Roman"/>
      <w:szCs w:val="28"/>
    </w:rPr>
  </w:style>
  <w:style w:type="character" w:customStyle="1" w:styleId="52">
    <w:name w:val="正文内容 Char Char"/>
    <w:link w:val="51"/>
    <w:qFormat/>
    <w:uiPriority w:val="0"/>
    <w:rPr>
      <w:rFonts w:ascii="Times New Roman" w:hAnsi="Times New Roman" w:eastAsia="宋体" w:cs="Times New Roman"/>
      <w:sz w:val="24"/>
      <w:szCs w:val="28"/>
    </w:rPr>
  </w:style>
  <w:style w:type="paragraph" w:customStyle="1" w:styleId="53">
    <w:name w:val="章标题"/>
    <w:next w:val="1"/>
    <w:qFormat/>
    <w:uiPriority w:val="0"/>
    <w:p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54">
    <w:name w:val="附录表标号"/>
    <w:basedOn w:val="1"/>
    <w:next w:val="1"/>
    <w:qFormat/>
    <w:uiPriority w:val="0"/>
    <w:pPr>
      <w:numPr>
        <w:ilvl w:val="0"/>
        <w:numId w:val="2"/>
      </w:numPr>
      <w:tabs>
        <w:tab w:val="clear" w:pos="0"/>
      </w:tabs>
      <w:spacing w:line="14" w:lineRule="exact"/>
      <w:ind w:left="811" w:hanging="448" w:firstLineChars="0"/>
      <w:jc w:val="center"/>
      <w:outlineLvl w:val="0"/>
    </w:pPr>
    <w:rPr>
      <w:rFonts w:cs="Times New Roman"/>
      <w:color w:val="FFFFFF"/>
      <w:sz w:val="21"/>
      <w:szCs w:val="24"/>
    </w:rPr>
  </w:style>
  <w:style w:type="paragraph" w:customStyle="1" w:styleId="55">
    <w:name w:val="附录表标题"/>
    <w:basedOn w:val="1"/>
    <w:next w:val="1"/>
    <w:qFormat/>
    <w:uiPriority w:val="0"/>
    <w:pPr>
      <w:numPr>
        <w:ilvl w:val="1"/>
        <w:numId w:val="2"/>
      </w:numPr>
      <w:tabs>
        <w:tab w:val="left" w:pos="180"/>
      </w:tabs>
      <w:spacing w:before="50" w:beforeLines="50" w:after="50" w:afterLines="50" w:line="240" w:lineRule="auto"/>
      <w:ind w:left="0" w:firstLine="0" w:firstLineChars="0"/>
      <w:jc w:val="center"/>
    </w:pPr>
    <w:rPr>
      <w:rFonts w:ascii="黑体" w:eastAsia="黑体" w:cs="Times New Roman"/>
      <w:sz w:val="21"/>
      <w:szCs w:val="21"/>
    </w:rPr>
  </w:style>
  <w:style w:type="paragraph" w:customStyle="1" w:styleId="56">
    <w:name w:val="_Style 84"/>
    <w:basedOn w:val="1"/>
    <w:next w:val="40"/>
    <w:link w:val="57"/>
    <w:qFormat/>
    <w:uiPriority w:val="34"/>
    <w:pPr>
      <w:spacing w:line="240" w:lineRule="auto"/>
      <w:ind w:firstLine="420"/>
    </w:pPr>
    <w:rPr>
      <w:rFonts w:ascii="Calibri" w:hAnsi="Calibri" w:cs="Times New Roman"/>
      <w:sz w:val="21"/>
    </w:rPr>
  </w:style>
  <w:style w:type="character" w:customStyle="1" w:styleId="57">
    <w:name w:val="列表段落 字符"/>
    <w:link w:val="56"/>
    <w:qFormat/>
    <w:locked/>
    <w:uiPriority w:val="34"/>
    <w:rPr>
      <w:rFonts w:ascii="Calibri" w:hAnsi="Calibri" w:eastAsia="宋体" w:cs="Times New Roman"/>
    </w:rPr>
  </w:style>
  <w:style w:type="paragraph" w:customStyle="1" w:styleId="58">
    <w:name w:val="YN-条文标题1"/>
    <w:basedOn w:val="1"/>
    <w:link w:val="60"/>
    <w:qFormat/>
    <w:uiPriority w:val="0"/>
    <w:pPr>
      <w:spacing w:line="360" w:lineRule="auto"/>
      <w:ind w:firstLine="0" w:firstLineChars="0"/>
      <w:jc w:val="center"/>
    </w:pPr>
    <w:rPr>
      <w:b/>
      <w:bCs/>
      <w:sz w:val="32"/>
      <w:szCs w:val="32"/>
    </w:rPr>
  </w:style>
  <w:style w:type="paragraph" w:customStyle="1" w:styleId="59">
    <w:name w:val="YN-条文标题2"/>
    <w:basedOn w:val="1"/>
    <w:link w:val="61"/>
    <w:qFormat/>
    <w:uiPriority w:val="0"/>
    <w:pPr>
      <w:ind w:firstLine="0" w:firstLineChars="0"/>
    </w:pPr>
    <w:rPr>
      <w:b/>
      <w:bCs/>
      <w:sz w:val="28"/>
      <w:szCs w:val="28"/>
    </w:rPr>
  </w:style>
  <w:style w:type="character" w:customStyle="1" w:styleId="60">
    <w:name w:val="YN-条文标题1 字符"/>
    <w:basedOn w:val="25"/>
    <w:link w:val="58"/>
    <w:qFormat/>
    <w:uiPriority w:val="0"/>
    <w:rPr>
      <w:rFonts w:ascii="Times New Roman" w:hAnsi="Times New Roman" w:eastAsia="宋体"/>
      <w:b/>
      <w:bCs/>
      <w:sz w:val="32"/>
      <w:szCs w:val="32"/>
    </w:rPr>
  </w:style>
  <w:style w:type="character" w:customStyle="1" w:styleId="61">
    <w:name w:val="YN-条文标题2 字符"/>
    <w:basedOn w:val="25"/>
    <w:link w:val="59"/>
    <w:qFormat/>
    <w:uiPriority w:val="0"/>
    <w:rPr>
      <w:rFonts w:ascii="Times New Roman" w:hAnsi="Times New Roman" w:eastAsia="宋体"/>
      <w:b/>
      <w:bCs/>
      <w:sz w:val="28"/>
      <w:szCs w:val="28"/>
    </w:rPr>
  </w:style>
  <w:style w:type="character" w:customStyle="1" w:styleId="62">
    <w:name w:val="批注框文本 字符"/>
    <w:basedOn w:val="25"/>
    <w:link w:val="14"/>
    <w:semiHidden/>
    <w:qFormat/>
    <w:uiPriority w:val="99"/>
    <w:rPr>
      <w:rFonts w:ascii="Times New Roman" w:hAnsi="Times New Roman" w:eastAsia="宋体"/>
      <w:kern w:val="2"/>
      <w:sz w:val="18"/>
      <w:szCs w:val="18"/>
    </w:rPr>
  </w:style>
  <w:style w:type="character" w:customStyle="1" w:styleId="63">
    <w:name w:val="批注文字 字符"/>
    <w:basedOn w:val="25"/>
    <w:link w:val="8"/>
    <w:semiHidden/>
    <w:qFormat/>
    <w:uiPriority w:val="99"/>
    <w:rPr>
      <w:rFonts w:ascii="Times New Roman" w:hAnsi="Times New Roman" w:eastAsia="宋体"/>
      <w:kern w:val="2"/>
      <w:sz w:val="24"/>
      <w:szCs w:val="22"/>
    </w:rPr>
  </w:style>
  <w:style w:type="character" w:customStyle="1" w:styleId="64">
    <w:name w:val="批注主题 字符"/>
    <w:basedOn w:val="63"/>
    <w:link w:val="22"/>
    <w:semiHidden/>
    <w:qFormat/>
    <w:uiPriority w:val="99"/>
    <w:rPr>
      <w:rFonts w:ascii="Times New Roman" w:hAnsi="Times New Roman" w:eastAsia="宋体"/>
      <w:b/>
      <w:bCs/>
      <w:kern w:val="2"/>
      <w:sz w:val="24"/>
      <w:szCs w:val="22"/>
    </w:rPr>
  </w:style>
  <w:style w:type="character" w:customStyle="1" w:styleId="65">
    <w:name w:val="日期 字符"/>
    <w:basedOn w:val="25"/>
    <w:link w:val="12"/>
    <w:semiHidden/>
    <w:qFormat/>
    <w:uiPriority w:val="99"/>
    <w:rPr>
      <w:rFonts w:ascii="Times New Roman" w:hAnsi="Times New Roman" w:eastAsia="宋体"/>
      <w:kern w:val="2"/>
      <w:sz w:val="24"/>
      <w:szCs w:val="22"/>
    </w:rPr>
  </w:style>
  <w:style w:type="character" w:customStyle="1" w:styleId="66">
    <w:name w:val="尾注文本 字符"/>
    <w:basedOn w:val="25"/>
    <w:link w:val="13"/>
    <w:semiHidden/>
    <w:qFormat/>
    <w:uiPriority w:val="0"/>
    <w:rPr>
      <w:kern w:val="2"/>
      <w:sz w:val="21"/>
      <w:szCs w:val="24"/>
    </w:rPr>
  </w:style>
  <w:style w:type="paragraph" w:customStyle="1" w:styleId="67">
    <w:name w:val="TOC 标题1"/>
    <w:basedOn w:val="2"/>
    <w:next w:val="1"/>
    <w:unhideWhenUsed/>
    <w:qFormat/>
    <w:uiPriority w:val="39"/>
    <w:pPr>
      <w:numPr>
        <w:numId w:val="0"/>
      </w:numPr>
      <w:spacing w:before="240" w:after="0" w:afterLines="0" w:line="259" w:lineRule="auto"/>
      <w:jc w:val="left"/>
      <w:outlineLvl w:val="9"/>
    </w:pPr>
    <w:rPr>
      <w:rFonts w:asciiTheme="majorHAnsi" w:hAnsiTheme="majorHAnsi" w:eastAsiaTheme="majorEastAsia" w:cstheme="majorBidi"/>
      <w:b w:val="0"/>
      <w:bCs w:val="0"/>
      <w:color w:val="2F5597" w:themeColor="accent1" w:themeShade="BF"/>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6.wmf"/><Relationship Id="rId25" Type="http://schemas.openxmlformats.org/officeDocument/2006/relationships/oleObject" Target="embeddings/oleObject6.bin"/><Relationship Id="rId24" Type="http://schemas.openxmlformats.org/officeDocument/2006/relationships/image" Target="media/image5.wmf"/><Relationship Id="rId23" Type="http://schemas.openxmlformats.org/officeDocument/2006/relationships/oleObject" Target="embeddings/oleObject5.bin"/><Relationship Id="rId22" Type="http://schemas.openxmlformats.org/officeDocument/2006/relationships/image" Target="media/image4.wmf"/><Relationship Id="rId21" Type="http://schemas.openxmlformats.org/officeDocument/2006/relationships/oleObject" Target="embeddings/oleObject4.bin"/><Relationship Id="rId20" Type="http://schemas.openxmlformats.org/officeDocument/2006/relationships/image" Target="media/image3.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2.wmf"/><Relationship Id="rId17" Type="http://schemas.openxmlformats.org/officeDocument/2006/relationships/oleObject" Target="embeddings/oleObject2.bin"/><Relationship Id="rId16" Type="http://schemas.openxmlformats.org/officeDocument/2006/relationships/image" Target="media/image1.w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154A5-D678-4401-BDB2-60B12BF380F2}">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105</Pages>
  <Words>61775</Words>
  <Characters>64955</Characters>
  <Lines>565</Lines>
  <Paragraphs>159</Paragraphs>
  <TotalTime>0</TotalTime>
  <ScaleCrop>false</ScaleCrop>
  <LinksUpToDate>false</LinksUpToDate>
  <CharactersWithSpaces>66563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2023-05-25T06:45:00Z</dcterms:created>
  <dc:creator>Tang Zhiyi</dc:creator>
  <cp:lastModifiedBy>Promise</cp:lastModifiedBy>
  <dcterms:modified xsi:type="dcterms:W3CDTF">2023-09-15T08:33:24Z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FFA46302AEF04CDAADAE1BFAF7EEC524_13</vt:lpwstr>
  </property>
</Properties>
</file>